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DAA6" w14:textId="479E8D30" w:rsidR="00785A98" w:rsidRPr="00B71282" w:rsidRDefault="00785A98" w:rsidP="00785A98">
      <w:pPr>
        <w:pStyle w:val="Heading3"/>
      </w:pPr>
      <w:r w:rsidRPr="00B71282">
        <w:t>28.23 LEAVING THE SCENE OF AN ACCIDENT INVOLVING [DEATH] [SERIOUS BODILY INJURY] [INJURY] [PROPERTY DAMAGE] WHILE OPERATING A VESSEL</w:t>
      </w:r>
    </w:p>
    <w:p w14:paraId="6940CFF8" w14:textId="77777777" w:rsidR="00785A98" w:rsidRPr="00B71282" w:rsidRDefault="00785A98" w:rsidP="00785A98">
      <w:pPr>
        <w:pStyle w:val="SJIStatuteinTitle"/>
      </w:pPr>
      <w:r w:rsidRPr="00B71282">
        <w:t>§ 327.30(5), Fla. Stat.</w:t>
      </w:r>
    </w:p>
    <w:p w14:paraId="767749BD" w14:textId="4233E541" w:rsidR="00785A98" w:rsidRPr="00785A98" w:rsidRDefault="00785A98" w:rsidP="00785A98">
      <w:pPr>
        <w:rPr>
          <w:b/>
          <w:bCs/>
        </w:rPr>
      </w:pPr>
      <w:r w:rsidRPr="00785A98">
        <w:rPr>
          <w:b/>
          <w:bCs/>
        </w:rPr>
        <w:t>To prove the crime of Leaving the Scene of an Accident Involving [Death] [Serious Bodily Injury] [Injury] [Property Damage] While Operating a Vessel, the State must prove the following four elements beyond a reasonable doubt:</w:t>
      </w:r>
    </w:p>
    <w:p w14:paraId="5954C009" w14:textId="7D679650" w:rsidR="00785A98" w:rsidRPr="00785A98" w:rsidRDefault="00785A98" w:rsidP="00785A98">
      <w:pPr>
        <w:pStyle w:val="ListParagraph"/>
        <w:numPr>
          <w:ilvl w:val="0"/>
          <w:numId w:val="6"/>
        </w:numPr>
        <w:ind w:left="1152" w:hanging="432"/>
      </w:pPr>
      <w:r w:rsidRPr="00785A98">
        <w:t xml:space="preserve">(Defendant) </w:t>
      </w:r>
      <w:r w:rsidRPr="00785A98">
        <w:rPr>
          <w:b/>
          <w:bCs/>
        </w:rPr>
        <w:t>was the operator of a vessel involved in an accident.</w:t>
      </w:r>
      <w:r w:rsidRPr="00785A98">
        <w:t xml:space="preserve"> </w:t>
      </w:r>
    </w:p>
    <w:p w14:paraId="2357F429" w14:textId="51785ABD" w:rsidR="00785A98" w:rsidRPr="00785A98" w:rsidRDefault="00785A98" w:rsidP="00785A98">
      <w:pPr>
        <w:pStyle w:val="ListParagraph"/>
        <w:numPr>
          <w:ilvl w:val="0"/>
          <w:numId w:val="6"/>
        </w:numPr>
        <w:ind w:left="1152" w:hanging="432"/>
      </w:pPr>
      <w:r w:rsidRPr="00785A98">
        <w:t xml:space="preserve">(Defendant) </w:t>
      </w:r>
      <w:r w:rsidRPr="00785A98">
        <w:rPr>
          <w:b/>
          <w:bCs/>
        </w:rPr>
        <w:t>knew that [he] [she] was involved in an accident.</w:t>
      </w:r>
    </w:p>
    <w:p w14:paraId="003E890A" w14:textId="0CA4D0A7" w:rsidR="00785A98" w:rsidRPr="00785A98" w:rsidRDefault="00785A98" w:rsidP="00785A98">
      <w:pPr>
        <w:pStyle w:val="ListParagraph"/>
        <w:numPr>
          <w:ilvl w:val="0"/>
          <w:numId w:val="6"/>
        </w:numPr>
        <w:ind w:left="1152" w:hanging="432"/>
      </w:pPr>
      <w:r w:rsidRPr="00785A98">
        <w:rPr>
          <w:b/>
          <w:bCs/>
        </w:rPr>
        <w:t>The accident resulted in [property damage only] [injury to (victim)] [serious bodily injury to</w:t>
      </w:r>
      <w:r w:rsidRPr="00785A98">
        <w:t xml:space="preserve"> (victim)] </w:t>
      </w:r>
      <w:r w:rsidRPr="00785A98">
        <w:rPr>
          <w:b/>
          <w:bCs/>
        </w:rPr>
        <w:t>[the death of</w:t>
      </w:r>
      <w:r w:rsidRPr="00785A98">
        <w:t xml:space="preserve"> (victim)] </w:t>
      </w:r>
      <w:r w:rsidRPr="00785A98">
        <w:rPr>
          <w:b/>
          <w:bCs/>
        </w:rPr>
        <w:t>[death to an unborn child].</w:t>
      </w:r>
    </w:p>
    <w:p w14:paraId="7A1BE453" w14:textId="00A50B0A" w:rsidR="00785A98" w:rsidRPr="00785A98" w:rsidRDefault="00785A98" w:rsidP="00785A98">
      <w:pPr>
        <w:pStyle w:val="ListParagraph"/>
        <w:numPr>
          <w:ilvl w:val="0"/>
          <w:numId w:val="6"/>
        </w:numPr>
        <w:ind w:left="1152" w:hanging="432"/>
        <w:rPr>
          <w:b/>
          <w:bCs/>
        </w:rPr>
      </w:pPr>
      <w:r w:rsidRPr="00785A98">
        <w:t xml:space="preserve">(Defendant) </w:t>
      </w:r>
      <w:r w:rsidRPr="00785A98">
        <w:rPr>
          <w:b/>
          <w:bCs/>
        </w:rPr>
        <w:t xml:space="preserve">left the scene of the accident </w:t>
      </w:r>
    </w:p>
    <w:p w14:paraId="1B133DFD" w14:textId="6DBF62B8" w:rsidR="00785A98" w:rsidRPr="00785A98" w:rsidRDefault="00785A98" w:rsidP="00785A98">
      <w:pPr>
        <w:pStyle w:val="ListParagraph"/>
        <w:numPr>
          <w:ilvl w:val="0"/>
          <w:numId w:val="7"/>
        </w:numPr>
        <w:ind w:left="1512" w:hanging="432"/>
        <w:rPr>
          <w:b/>
          <w:bCs/>
        </w:rPr>
      </w:pPr>
      <w:r w:rsidRPr="00785A98">
        <w:rPr>
          <w:b/>
          <w:bCs/>
        </w:rPr>
        <w:t xml:space="preserve">without giving all possible aid to </w:t>
      </w:r>
      <w:proofErr w:type="gramStart"/>
      <w:r w:rsidRPr="00785A98">
        <w:rPr>
          <w:b/>
          <w:bCs/>
        </w:rPr>
        <w:t>persons</w:t>
      </w:r>
      <w:proofErr w:type="gramEnd"/>
      <w:r w:rsidRPr="00785A98">
        <w:rPr>
          <w:b/>
          <w:bCs/>
        </w:rPr>
        <w:t xml:space="preserve"> involved; </w:t>
      </w:r>
    </w:p>
    <w:p w14:paraId="4C3DE21C" w14:textId="0C033102" w:rsidR="00785A98" w:rsidRPr="00785A98" w:rsidRDefault="00785A98" w:rsidP="00B560B6">
      <w:pPr>
        <w:ind w:left="792"/>
        <w:rPr>
          <w:b/>
          <w:bCs/>
        </w:rPr>
      </w:pPr>
      <w:r w:rsidRPr="00785A98">
        <w:rPr>
          <w:b/>
          <w:bCs/>
        </w:rPr>
        <w:t xml:space="preserve">or </w:t>
      </w:r>
    </w:p>
    <w:p w14:paraId="7D1825C8" w14:textId="5AFEE869" w:rsidR="00785A98" w:rsidRPr="00785A98" w:rsidRDefault="00785A98" w:rsidP="00785A98">
      <w:pPr>
        <w:pStyle w:val="ListParagraph"/>
        <w:numPr>
          <w:ilvl w:val="0"/>
          <w:numId w:val="7"/>
        </w:numPr>
        <w:ind w:left="1512" w:hanging="432"/>
        <w:rPr>
          <w:b/>
          <w:bCs/>
        </w:rPr>
      </w:pPr>
      <w:r w:rsidRPr="00785A98">
        <w:rPr>
          <w:b/>
          <w:bCs/>
        </w:rPr>
        <w:t xml:space="preserve">without making a reasonable effort to locate the owner or persons affected; </w:t>
      </w:r>
    </w:p>
    <w:p w14:paraId="226E7327" w14:textId="385B25AA" w:rsidR="00785A98" w:rsidRPr="00785A98" w:rsidRDefault="00785A98" w:rsidP="00B560B6">
      <w:pPr>
        <w:ind w:left="792"/>
        <w:rPr>
          <w:b/>
          <w:bCs/>
        </w:rPr>
      </w:pPr>
      <w:r w:rsidRPr="00785A98">
        <w:rPr>
          <w:b/>
          <w:bCs/>
        </w:rPr>
        <w:t>or</w:t>
      </w:r>
    </w:p>
    <w:p w14:paraId="02445EA3" w14:textId="1EBF1964" w:rsidR="00785A98" w:rsidRPr="00785A98" w:rsidRDefault="00785A98" w:rsidP="00785A98">
      <w:pPr>
        <w:pStyle w:val="ListParagraph"/>
        <w:numPr>
          <w:ilvl w:val="0"/>
          <w:numId w:val="7"/>
        </w:numPr>
        <w:ind w:left="1512" w:hanging="432"/>
        <w:rPr>
          <w:b/>
          <w:bCs/>
        </w:rPr>
      </w:pPr>
      <w:r w:rsidRPr="00785A98">
        <w:rPr>
          <w:b/>
          <w:bCs/>
        </w:rPr>
        <w:t xml:space="preserve">without subsequently giving notice of the accident to the appropriate law enforcement official as required by Florida law. </w:t>
      </w:r>
    </w:p>
    <w:p w14:paraId="13EF40ED" w14:textId="53DB14D8" w:rsidR="00785A98" w:rsidRPr="00B71282" w:rsidRDefault="00785A98" w:rsidP="00785A98">
      <w:pPr>
        <w:spacing w:after="0" w:line="240" w:lineRule="auto"/>
        <w:rPr>
          <w:i/>
          <w:iCs/>
        </w:rPr>
      </w:pPr>
      <w:r w:rsidRPr="00B71282">
        <w:rPr>
          <w:i/>
          <w:iCs/>
        </w:rPr>
        <w:t>Give only if applicable. § 327.30(5)(b), Fla. Stat.</w:t>
      </w:r>
    </w:p>
    <w:p w14:paraId="5C9A6FEE" w14:textId="77777777" w:rsidR="00785A98" w:rsidRPr="00B71282" w:rsidRDefault="00785A98" w:rsidP="00785A98">
      <w:pPr>
        <w:spacing w:line="240" w:lineRule="auto"/>
        <w:rPr>
          <w:b/>
          <w:bCs/>
        </w:rPr>
      </w:pPr>
      <w:r w:rsidRPr="00B71282">
        <w:rPr>
          <w:b/>
          <w:bCs/>
        </w:rPr>
        <w:t xml:space="preserve">If you find the defendant guilty of Leaving the Scene of an Accident Involving [Death] [the death of an unborn child], you must further determine whether the State proved beyond a reasonable doubt that the defendant knew of the death and intentionally and purposely left the scene of the accident. </w:t>
      </w:r>
    </w:p>
    <w:p w14:paraId="2BC4F845" w14:textId="5BEECCB9" w:rsidR="00785A98" w:rsidRPr="00B71282" w:rsidRDefault="00785A98" w:rsidP="00785A98">
      <w:pPr>
        <w:spacing w:after="0" w:line="240" w:lineRule="auto"/>
        <w:rPr>
          <w:i/>
          <w:iCs/>
        </w:rPr>
      </w:pPr>
      <w:r w:rsidRPr="00B71282">
        <w:rPr>
          <w:i/>
          <w:iCs/>
        </w:rPr>
        <w:t>§ 327.02, Fla. Stat.</w:t>
      </w:r>
    </w:p>
    <w:p w14:paraId="3E753DBE" w14:textId="7330B470" w:rsidR="00785A98" w:rsidRPr="00B71282" w:rsidRDefault="00785A98" w:rsidP="00785A98">
      <w:pPr>
        <w:spacing w:line="240" w:lineRule="auto"/>
      </w:pPr>
      <w:r w:rsidRPr="00B71282">
        <w:rPr>
          <w:b/>
          <w:bCs/>
        </w:rPr>
        <w:t>To be the “operator of a vessel”</w:t>
      </w:r>
      <w:r w:rsidRPr="00B71282">
        <w:t xml:space="preserve"> </w:t>
      </w:r>
      <w:r w:rsidRPr="00B71282">
        <w:rPr>
          <w:b/>
          <w:bCs/>
        </w:rPr>
        <w:t>means to be in charge of or in command of or in actual physical control of a vessel upon the waters of this state, or to exercise control over or to have responsibility for a vessel’s navigation or safety while the vessel is underway upon the waters of this state, or to control or steer a vessel being towed by another vessel upon the waters of Florida.</w:t>
      </w:r>
    </w:p>
    <w:p w14:paraId="32CE7139" w14:textId="2E8727B9" w:rsidR="00785A98" w:rsidRPr="00B71282" w:rsidRDefault="00785A98" w:rsidP="00785A98">
      <w:pPr>
        <w:spacing w:after="0" w:line="240" w:lineRule="auto"/>
        <w:rPr>
          <w:i/>
          <w:iCs/>
        </w:rPr>
      </w:pPr>
      <w:r w:rsidRPr="00B71282">
        <w:rPr>
          <w:i/>
          <w:iCs/>
        </w:rPr>
        <w:t>§ 327.02, Fla. Stat.; State v. Davis, 110 So. 3d 27 (Fla. 2d DCA 2013).</w:t>
      </w:r>
    </w:p>
    <w:p w14:paraId="34DA7153" w14:textId="120BA194" w:rsidR="00785A98" w:rsidRPr="00B71282" w:rsidRDefault="00785A98" w:rsidP="00785A98">
      <w:pPr>
        <w:spacing w:line="240" w:lineRule="auto"/>
      </w:pPr>
      <w:r w:rsidRPr="00B71282">
        <w:rPr>
          <w:b/>
          <w:bCs/>
        </w:rPr>
        <w:t>“Vessel” means a boat and includes every description of watercraft, barge, and airboat, other than a seaplane, on the water used or capable of being used as a means of transportation on water.</w:t>
      </w:r>
    </w:p>
    <w:p w14:paraId="3B3A39EB" w14:textId="6342552C" w:rsidR="00785A98" w:rsidRPr="00B71282" w:rsidRDefault="00785A98" w:rsidP="00785A98">
      <w:pPr>
        <w:spacing w:after="0" w:line="240" w:lineRule="auto"/>
        <w:rPr>
          <w:i/>
          <w:iCs/>
        </w:rPr>
      </w:pPr>
      <w:r w:rsidRPr="00B71282">
        <w:rPr>
          <w:i/>
          <w:iCs/>
        </w:rPr>
        <w:lastRenderedPageBreak/>
        <w:t>Gaulden v. State, 195 So. 3d 1123 (Fla. 2016); State v. Elder, 975 So.2d 481 (Fla. 2d DCA 2007).</w:t>
      </w:r>
    </w:p>
    <w:p w14:paraId="43CCD220" w14:textId="77777777" w:rsidR="00785A98" w:rsidRPr="00B71282" w:rsidRDefault="00785A98" w:rsidP="00785A98">
      <w:pPr>
        <w:spacing w:line="240" w:lineRule="auto"/>
        <w:rPr>
          <w:b/>
          <w:bCs/>
        </w:rPr>
      </w:pPr>
      <w:r w:rsidRPr="00B71282">
        <w:rPr>
          <w:b/>
          <w:bCs/>
        </w:rPr>
        <w:t>An “accident” requires that a vessel, though not necessarily the defendant’s vessel, must collide with another vessel, person, or object.</w:t>
      </w:r>
    </w:p>
    <w:p w14:paraId="23A5E2BA" w14:textId="02CA71D9" w:rsidR="00785A98" w:rsidRPr="00B71282" w:rsidRDefault="00785A98" w:rsidP="00785A98">
      <w:pPr>
        <w:spacing w:line="240" w:lineRule="auto"/>
      </w:pPr>
      <w:r w:rsidRPr="00B71282">
        <w:rPr>
          <w:b/>
          <w:bCs/>
        </w:rPr>
        <w:t xml:space="preserve">If the defendant’s vessel did not collide with another vessel, person, or object, you may find the defendant was involved in an accident if [he] [she] operated the vessel that caused or contributed to causing an accident. </w:t>
      </w:r>
    </w:p>
    <w:p w14:paraId="2DF7CFE4" w14:textId="2B7E44C9" w:rsidR="00785A98" w:rsidRPr="00B71282" w:rsidRDefault="00785A98" w:rsidP="00785A98">
      <w:pPr>
        <w:spacing w:after="0" w:line="240" w:lineRule="auto"/>
        <w:rPr>
          <w:i/>
          <w:iCs/>
        </w:rPr>
      </w:pPr>
      <w:r w:rsidRPr="00B71282">
        <w:rPr>
          <w:i/>
          <w:iCs/>
        </w:rPr>
        <w:t>§ 327.30, Fla. Stat.</w:t>
      </w:r>
    </w:p>
    <w:p w14:paraId="16EF1AE6" w14:textId="26219A48" w:rsidR="00785A98" w:rsidRPr="00B71282" w:rsidRDefault="00785A98" w:rsidP="00785A98">
      <w:pPr>
        <w:spacing w:line="240" w:lineRule="auto"/>
      </w:pPr>
      <w:r w:rsidRPr="00B71282">
        <w:rPr>
          <w:b/>
          <w:bCs/>
        </w:rPr>
        <w:t>Florida law requires the operator of a vessel involved in an accident, by the quickest means available, and without delay, to give notice of the accident to one of the following agencies: the Division of Law Enforcement of the Fish and Wildlife Conservation Commission; the sheriff of the county within which the accident occurred; or the police chief of the municipality within which the accident occurred.</w:t>
      </w:r>
    </w:p>
    <w:p w14:paraId="6DE79E74" w14:textId="72287CAB" w:rsidR="00785A98" w:rsidRPr="00B71282" w:rsidRDefault="00785A98" w:rsidP="00785A98">
      <w:pPr>
        <w:spacing w:after="0" w:line="240" w:lineRule="auto"/>
        <w:rPr>
          <w:i/>
          <w:iCs/>
        </w:rPr>
      </w:pPr>
      <w:r w:rsidRPr="00B71282">
        <w:rPr>
          <w:i/>
          <w:iCs/>
        </w:rPr>
        <w:t>Give if serious bodily injury is charged. § 327.30(5)(a)(3), Fla. Stat.</w:t>
      </w:r>
    </w:p>
    <w:p w14:paraId="69B6AB1E" w14:textId="39B8C60C" w:rsidR="00785A98" w:rsidRPr="00B71282" w:rsidRDefault="00785A98" w:rsidP="00785A98">
      <w:pPr>
        <w:spacing w:line="240" w:lineRule="auto"/>
      </w:pPr>
      <w:r w:rsidRPr="00B71282">
        <w:rPr>
          <w:b/>
          <w:bCs/>
        </w:rPr>
        <w:t>“Serious bodily injury” means an injury to a person, including the operator, which consists of a physical condition that creates a substantial risk of death, serious disfigurement, or protracted loss or impairment of the function of a bodily member or organ.</w:t>
      </w:r>
    </w:p>
    <w:p w14:paraId="1FCF9C28" w14:textId="77777777" w:rsidR="00785A98" w:rsidRPr="00B71282" w:rsidRDefault="00785A98" w:rsidP="00785A98">
      <w:pPr>
        <w:spacing w:after="0" w:line="240" w:lineRule="auto"/>
        <w:rPr>
          <w:i/>
          <w:iCs/>
        </w:rPr>
      </w:pPr>
      <w:r w:rsidRPr="00B71282">
        <w:rPr>
          <w:i/>
          <w:iCs/>
        </w:rPr>
        <w:t xml:space="preserve">Give if death of an unborn child is charged. </w:t>
      </w:r>
    </w:p>
    <w:p w14:paraId="7AA6607A" w14:textId="77777777" w:rsidR="00785A98" w:rsidRPr="00B71282" w:rsidRDefault="00785A98" w:rsidP="00785A98">
      <w:pPr>
        <w:spacing w:line="240" w:lineRule="auto"/>
        <w:rPr>
          <w:rFonts w:cs="Calibri"/>
        </w:rPr>
      </w:pPr>
      <w:r w:rsidRPr="00B71282">
        <w:rPr>
          <w:rFonts w:cs="Calibri"/>
          <w:b/>
          <w:bCs/>
        </w:rPr>
        <w:t xml:space="preserve">An “unborn child” means a member of the species </w:t>
      </w:r>
      <w:r w:rsidRPr="00B71282">
        <w:rPr>
          <w:rFonts w:cs="Calibri"/>
          <w:b/>
          <w:bCs/>
          <w:i/>
          <w:iCs/>
        </w:rPr>
        <w:t>Homo sapiens</w:t>
      </w:r>
      <w:r w:rsidRPr="00B71282">
        <w:rPr>
          <w:rFonts w:cs="Calibri"/>
          <w:b/>
          <w:bCs/>
        </w:rPr>
        <w:t>, at any stage of development, who is carried in the womb.</w:t>
      </w:r>
    </w:p>
    <w:p w14:paraId="5BD02021" w14:textId="77777777" w:rsidR="00785A98" w:rsidRPr="00B71282" w:rsidRDefault="00785A98" w:rsidP="00785A98">
      <w:pPr>
        <w:pStyle w:val="SJIComments"/>
      </w:pPr>
      <w:r w:rsidRPr="00B71282">
        <w:t>Lesser Included Offense</w:t>
      </w:r>
    </w:p>
    <w:p w14:paraId="5A6D7CE9" w14:textId="76996A17" w:rsidR="00785A98" w:rsidRPr="00B71282" w:rsidRDefault="00785A98" w:rsidP="00785A98">
      <w:pPr>
        <w:pStyle w:val="Heading4"/>
        <w:rPr>
          <w:rFonts w:eastAsia="Times New Roman"/>
        </w:rPr>
      </w:pPr>
      <w:bookmarkStart w:id="0" w:name="_Toc109650878"/>
      <w:r w:rsidRPr="00B71282">
        <w:rPr>
          <w:rFonts w:eastAsia="Times New Roman"/>
        </w:rPr>
        <w:t>LEAVING THE SCENE OF An accident INVOLVING DEATH — 327.30(5)</w:t>
      </w:r>
      <w:bookmarkEnd w:id="0"/>
      <w:r w:rsidRPr="00B71282">
        <w:rPr>
          <w:rFonts w:eastAsia="Times New Roman"/>
        </w:rPr>
        <w:t>(</w:t>
      </w:r>
      <w:r w:rsidRPr="00B71282">
        <w:rPr>
          <w:rFonts w:eastAsia="Times New Roman"/>
          <w:caps w:val="0"/>
        </w:rPr>
        <w:t>a</w:t>
      </w:r>
      <w:r w:rsidRPr="00B71282">
        <w:rPr>
          <w:rFonts w:eastAsia="Times New Roman"/>
        </w:rPr>
        <w:t>)4.</w:t>
      </w:r>
    </w:p>
    <w:tbl>
      <w:tblPr>
        <w:tblStyle w:val="TableGrid1"/>
        <w:tblW w:w="5000" w:type="pct"/>
        <w:tblLook w:val="0020" w:firstRow="1" w:lastRow="0" w:firstColumn="0" w:lastColumn="0" w:noHBand="0" w:noVBand="0"/>
      </w:tblPr>
      <w:tblGrid>
        <w:gridCol w:w="3505"/>
        <w:gridCol w:w="2430"/>
        <w:gridCol w:w="2160"/>
        <w:gridCol w:w="1255"/>
      </w:tblGrid>
      <w:tr w:rsidR="00785A98" w:rsidRPr="00B71282" w14:paraId="09040EF1" w14:textId="77777777" w:rsidTr="00785A98">
        <w:trPr>
          <w:cnfStyle w:val="100000000000" w:firstRow="1" w:lastRow="0" w:firstColumn="0" w:lastColumn="0" w:oddVBand="0" w:evenVBand="0" w:oddHBand="0" w:evenHBand="0" w:firstRowFirstColumn="0" w:firstRowLastColumn="0" w:lastRowFirstColumn="0" w:lastRowLastColumn="0"/>
        </w:trPr>
        <w:tc>
          <w:tcPr>
            <w:tcW w:w="1874" w:type="pct"/>
          </w:tcPr>
          <w:p w14:paraId="355DD834" w14:textId="77777777" w:rsidR="00785A98" w:rsidRPr="00B71282" w:rsidRDefault="00785A98" w:rsidP="00785A98">
            <w:pPr>
              <w:pStyle w:val="SJITableText"/>
            </w:pPr>
            <w:r w:rsidRPr="00B71282">
              <w:t>CATEGORY ONE</w:t>
            </w:r>
          </w:p>
        </w:tc>
        <w:tc>
          <w:tcPr>
            <w:tcW w:w="1299" w:type="pct"/>
          </w:tcPr>
          <w:p w14:paraId="6C3C0965" w14:textId="77777777" w:rsidR="00785A98" w:rsidRPr="00B71282" w:rsidRDefault="00785A98" w:rsidP="00785A98">
            <w:pPr>
              <w:pStyle w:val="SJITableText"/>
            </w:pPr>
            <w:r w:rsidRPr="00B71282">
              <w:t>CATEGORY TWO</w:t>
            </w:r>
          </w:p>
        </w:tc>
        <w:tc>
          <w:tcPr>
            <w:tcW w:w="1155" w:type="pct"/>
          </w:tcPr>
          <w:p w14:paraId="564164F8" w14:textId="77777777" w:rsidR="00785A98" w:rsidRPr="00B71282" w:rsidRDefault="00785A98" w:rsidP="00785A98">
            <w:pPr>
              <w:pStyle w:val="SJITableText"/>
            </w:pPr>
            <w:r w:rsidRPr="00B71282">
              <w:t>FLA. STAT.</w:t>
            </w:r>
          </w:p>
        </w:tc>
        <w:tc>
          <w:tcPr>
            <w:tcW w:w="671" w:type="pct"/>
          </w:tcPr>
          <w:p w14:paraId="25CB72E9" w14:textId="77777777" w:rsidR="00785A98" w:rsidRPr="00B71282" w:rsidRDefault="00785A98" w:rsidP="00785A98">
            <w:pPr>
              <w:pStyle w:val="SJITableText"/>
            </w:pPr>
            <w:r w:rsidRPr="00B71282">
              <w:t>INS. NO.</w:t>
            </w:r>
          </w:p>
        </w:tc>
      </w:tr>
      <w:tr w:rsidR="00785A98" w:rsidRPr="00B71282" w14:paraId="4C7A0657" w14:textId="77777777" w:rsidTr="00785A98">
        <w:tc>
          <w:tcPr>
            <w:tcW w:w="1874" w:type="pct"/>
          </w:tcPr>
          <w:p w14:paraId="7BBDF329" w14:textId="77777777" w:rsidR="00785A98" w:rsidRPr="00B71282" w:rsidRDefault="00785A98" w:rsidP="00785A98">
            <w:pPr>
              <w:pStyle w:val="SJITableText"/>
              <w:rPr>
                <w:strike/>
              </w:rPr>
            </w:pPr>
            <w:r w:rsidRPr="00B71282">
              <w:t>Leaving the Scene of an Accident Involving Serious Bodily Injury*</w:t>
            </w:r>
          </w:p>
        </w:tc>
        <w:tc>
          <w:tcPr>
            <w:tcW w:w="1299" w:type="pct"/>
          </w:tcPr>
          <w:p w14:paraId="41267444" w14:textId="77777777" w:rsidR="00785A98" w:rsidRPr="00B71282" w:rsidRDefault="00785A98" w:rsidP="00785A98">
            <w:pPr>
              <w:pStyle w:val="SJITableText"/>
            </w:pPr>
          </w:p>
        </w:tc>
        <w:tc>
          <w:tcPr>
            <w:tcW w:w="1155" w:type="pct"/>
          </w:tcPr>
          <w:p w14:paraId="7B471EA7" w14:textId="77777777" w:rsidR="00785A98" w:rsidRPr="00B71282" w:rsidRDefault="00785A98" w:rsidP="00785A98">
            <w:pPr>
              <w:pStyle w:val="SJITableText"/>
            </w:pPr>
            <w:r w:rsidRPr="00B71282">
              <w:t>327.30(5)(a)3.</w:t>
            </w:r>
          </w:p>
        </w:tc>
        <w:tc>
          <w:tcPr>
            <w:tcW w:w="671" w:type="pct"/>
          </w:tcPr>
          <w:p w14:paraId="726FF795" w14:textId="77777777" w:rsidR="00785A98" w:rsidRPr="00B71282" w:rsidRDefault="00785A98" w:rsidP="00785A98">
            <w:pPr>
              <w:pStyle w:val="SJITableText"/>
            </w:pPr>
            <w:r w:rsidRPr="00B71282">
              <w:t>28.23</w:t>
            </w:r>
          </w:p>
        </w:tc>
      </w:tr>
      <w:tr w:rsidR="00785A98" w:rsidRPr="00B71282" w14:paraId="673DF476" w14:textId="77777777" w:rsidTr="00785A98">
        <w:tc>
          <w:tcPr>
            <w:tcW w:w="1874" w:type="pct"/>
          </w:tcPr>
          <w:p w14:paraId="00521126" w14:textId="77777777" w:rsidR="00785A98" w:rsidRPr="00B71282" w:rsidRDefault="00785A98" w:rsidP="00785A98">
            <w:pPr>
              <w:pStyle w:val="SJITableText"/>
            </w:pPr>
            <w:r w:rsidRPr="00B71282">
              <w:t>Leaving the Scene of an Accident Involving Injury*</w:t>
            </w:r>
          </w:p>
        </w:tc>
        <w:tc>
          <w:tcPr>
            <w:tcW w:w="1299" w:type="pct"/>
          </w:tcPr>
          <w:p w14:paraId="6768949A" w14:textId="77777777" w:rsidR="00785A98" w:rsidRPr="00B71282" w:rsidRDefault="00785A98" w:rsidP="00785A98">
            <w:pPr>
              <w:pStyle w:val="SJITableText"/>
            </w:pPr>
          </w:p>
        </w:tc>
        <w:tc>
          <w:tcPr>
            <w:tcW w:w="1155" w:type="pct"/>
          </w:tcPr>
          <w:p w14:paraId="3219C1D2" w14:textId="77777777" w:rsidR="00785A98" w:rsidRPr="00B71282" w:rsidRDefault="00785A98" w:rsidP="00785A98">
            <w:pPr>
              <w:pStyle w:val="SJITableText"/>
            </w:pPr>
            <w:r w:rsidRPr="00B71282">
              <w:t>327.30(5)(a)2.</w:t>
            </w:r>
          </w:p>
        </w:tc>
        <w:tc>
          <w:tcPr>
            <w:tcW w:w="671" w:type="pct"/>
          </w:tcPr>
          <w:p w14:paraId="212D7067" w14:textId="77777777" w:rsidR="00785A98" w:rsidRPr="00B71282" w:rsidRDefault="00785A98" w:rsidP="00785A98">
            <w:pPr>
              <w:pStyle w:val="SJITableText"/>
            </w:pPr>
            <w:r w:rsidRPr="00B71282">
              <w:t>28.23</w:t>
            </w:r>
          </w:p>
        </w:tc>
      </w:tr>
      <w:tr w:rsidR="00785A98" w:rsidRPr="00B71282" w14:paraId="0813752C" w14:textId="77777777" w:rsidTr="00785A98">
        <w:tc>
          <w:tcPr>
            <w:tcW w:w="1874" w:type="pct"/>
          </w:tcPr>
          <w:p w14:paraId="4ED832ED" w14:textId="77777777" w:rsidR="00785A98" w:rsidRPr="00B71282" w:rsidRDefault="00785A98" w:rsidP="00785A98">
            <w:pPr>
              <w:pStyle w:val="SJITableText"/>
            </w:pPr>
          </w:p>
        </w:tc>
        <w:tc>
          <w:tcPr>
            <w:tcW w:w="1299" w:type="pct"/>
          </w:tcPr>
          <w:p w14:paraId="572682B1" w14:textId="77777777" w:rsidR="00785A98" w:rsidRPr="00B71282" w:rsidRDefault="00785A98" w:rsidP="00785A98">
            <w:pPr>
              <w:pStyle w:val="SJITableText"/>
            </w:pPr>
            <w:r w:rsidRPr="00B71282">
              <w:t>Attempt</w:t>
            </w:r>
          </w:p>
        </w:tc>
        <w:tc>
          <w:tcPr>
            <w:tcW w:w="1155" w:type="pct"/>
          </w:tcPr>
          <w:p w14:paraId="7B709CE9" w14:textId="77777777" w:rsidR="00785A98" w:rsidRPr="00B71282" w:rsidRDefault="00785A98" w:rsidP="00785A98">
            <w:pPr>
              <w:pStyle w:val="SJITableText"/>
            </w:pPr>
            <w:r w:rsidRPr="00B71282">
              <w:t>777.04(1)</w:t>
            </w:r>
          </w:p>
        </w:tc>
        <w:tc>
          <w:tcPr>
            <w:tcW w:w="671" w:type="pct"/>
          </w:tcPr>
          <w:p w14:paraId="2A4083F7" w14:textId="77777777" w:rsidR="00785A98" w:rsidRPr="00B71282" w:rsidRDefault="00785A98" w:rsidP="00785A98">
            <w:pPr>
              <w:pStyle w:val="SJITableText"/>
            </w:pPr>
            <w:r w:rsidRPr="00B71282">
              <w:t>5.1</w:t>
            </w:r>
          </w:p>
        </w:tc>
      </w:tr>
    </w:tbl>
    <w:p w14:paraId="6D82D5AD" w14:textId="77777777" w:rsidR="00785A98" w:rsidRPr="00B71282" w:rsidRDefault="00785A98" w:rsidP="00785A98">
      <w:pPr>
        <w:suppressAutoHyphens/>
        <w:rPr>
          <w:rFonts w:cs="Calibri"/>
          <w:color w:val="000000"/>
        </w:rPr>
      </w:pPr>
    </w:p>
    <w:p w14:paraId="4F4C2CA2" w14:textId="2D0C4418" w:rsidR="00785A98" w:rsidRPr="00B71282" w:rsidRDefault="00785A98" w:rsidP="00785A98">
      <w:pPr>
        <w:pStyle w:val="Heading4"/>
        <w:rPr>
          <w:rFonts w:eastAsia="Times New Roman"/>
        </w:rPr>
      </w:pPr>
      <w:bookmarkStart w:id="1" w:name="_Toc109650879"/>
      <w:r w:rsidRPr="00B71282">
        <w:rPr>
          <w:rFonts w:eastAsia="Times New Roman"/>
        </w:rPr>
        <w:t>LEAVING THE SCENE OF An accident INVOLVING SERIOUS BODILY INJURY — 327.30(5)(</w:t>
      </w:r>
      <w:r w:rsidRPr="00B71282">
        <w:rPr>
          <w:rFonts w:eastAsia="Times New Roman"/>
          <w:caps w:val="0"/>
        </w:rPr>
        <w:t>a</w:t>
      </w:r>
      <w:r w:rsidRPr="00B71282">
        <w:rPr>
          <w:rFonts w:eastAsia="Times New Roman"/>
        </w:rPr>
        <w:t>)</w:t>
      </w:r>
      <w:bookmarkEnd w:id="1"/>
      <w:r w:rsidRPr="00B71282">
        <w:rPr>
          <w:rFonts w:eastAsia="Times New Roman"/>
        </w:rPr>
        <w:t>3.</w:t>
      </w:r>
    </w:p>
    <w:tbl>
      <w:tblPr>
        <w:tblStyle w:val="PlainTable1"/>
        <w:tblW w:w="5000" w:type="pct"/>
        <w:tblLook w:val="0620" w:firstRow="1" w:lastRow="0" w:firstColumn="0" w:lastColumn="0" w:noHBand="1" w:noVBand="1"/>
      </w:tblPr>
      <w:tblGrid>
        <w:gridCol w:w="3505"/>
        <w:gridCol w:w="2340"/>
        <w:gridCol w:w="2250"/>
        <w:gridCol w:w="1255"/>
      </w:tblGrid>
      <w:tr w:rsidR="00785A98" w:rsidRPr="00B71282" w14:paraId="0EA00A24" w14:textId="77777777" w:rsidTr="00785A98">
        <w:trPr>
          <w:cnfStyle w:val="100000000000" w:firstRow="1" w:lastRow="0" w:firstColumn="0" w:lastColumn="0" w:oddVBand="0" w:evenVBand="0" w:oddHBand="0" w:evenHBand="0" w:firstRowFirstColumn="0" w:firstRowLastColumn="0" w:lastRowFirstColumn="0" w:lastRowLastColumn="0"/>
        </w:trPr>
        <w:tc>
          <w:tcPr>
            <w:tcW w:w="1874" w:type="pct"/>
          </w:tcPr>
          <w:p w14:paraId="38591426" w14:textId="77777777" w:rsidR="00785A98" w:rsidRPr="00B71282" w:rsidRDefault="00785A98" w:rsidP="00785A98">
            <w:pPr>
              <w:pStyle w:val="SJITableText"/>
              <w:rPr>
                <w:bCs/>
              </w:rPr>
            </w:pPr>
            <w:r w:rsidRPr="00B71282">
              <w:rPr>
                <w:bCs/>
              </w:rPr>
              <w:t>CATEGORY ONE</w:t>
            </w:r>
          </w:p>
        </w:tc>
        <w:tc>
          <w:tcPr>
            <w:tcW w:w="1251" w:type="pct"/>
          </w:tcPr>
          <w:p w14:paraId="4C66D2B7" w14:textId="77777777" w:rsidR="00785A98" w:rsidRPr="00B71282" w:rsidRDefault="00785A98" w:rsidP="00785A98">
            <w:pPr>
              <w:pStyle w:val="SJITableText"/>
              <w:rPr>
                <w:bCs/>
              </w:rPr>
            </w:pPr>
            <w:r w:rsidRPr="00B71282">
              <w:rPr>
                <w:bCs/>
              </w:rPr>
              <w:t>CATEGORY TWO</w:t>
            </w:r>
          </w:p>
        </w:tc>
        <w:tc>
          <w:tcPr>
            <w:tcW w:w="1203" w:type="pct"/>
          </w:tcPr>
          <w:p w14:paraId="1FAE9950" w14:textId="77777777" w:rsidR="00785A98" w:rsidRPr="00B71282" w:rsidRDefault="00785A98" w:rsidP="00785A98">
            <w:pPr>
              <w:pStyle w:val="SJITableText"/>
              <w:rPr>
                <w:bCs/>
              </w:rPr>
            </w:pPr>
            <w:r w:rsidRPr="00B71282">
              <w:rPr>
                <w:bCs/>
              </w:rPr>
              <w:t>FLA. STAT.</w:t>
            </w:r>
          </w:p>
        </w:tc>
        <w:tc>
          <w:tcPr>
            <w:tcW w:w="671" w:type="pct"/>
          </w:tcPr>
          <w:p w14:paraId="083C5BF2" w14:textId="77777777" w:rsidR="00785A98" w:rsidRPr="00B71282" w:rsidRDefault="00785A98" w:rsidP="00785A98">
            <w:pPr>
              <w:pStyle w:val="SJITableText"/>
              <w:rPr>
                <w:bCs/>
              </w:rPr>
            </w:pPr>
            <w:r w:rsidRPr="00B71282">
              <w:rPr>
                <w:bCs/>
              </w:rPr>
              <w:t>INS. NO.</w:t>
            </w:r>
          </w:p>
        </w:tc>
      </w:tr>
      <w:tr w:rsidR="00785A98" w:rsidRPr="00B71282" w14:paraId="4C2460E8" w14:textId="77777777" w:rsidTr="00785A98">
        <w:tc>
          <w:tcPr>
            <w:tcW w:w="1874" w:type="pct"/>
          </w:tcPr>
          <w:p w14:paraId="2CB1B589" w14:textId="77777777" w:rsidR="00785A98" w:rsidRPr="00B71282" w:rsidRDefault="00785A98" w:rsidP="00785A98">
            <w:pPr>
              <w:pStyle w:val="SJITableText"/>
            </w:pPr>
            <w:r w:rsidRPr="00B71282">
              <w:t xml:space="preserve">Leaving the Scene of a Crash Involving Injury </w:t>
            </w:r>
          </w:p>
        </w:tc>
        <w:tc>
          <w:tcPr>
            <w:tcW w:w="1251" w:type="pct"/>
          </w:tcPr>
          <w:p w14:paraId="388E13EC" w14:textId="77777777" w:rsidR="00785A98" w:rsidRPr="00B71282" w:rsidRDefault="00785A98" w:rsidP="00785A98">
            <w:pPr>
              <w:pStyle w:val="SJITableText"/>
            </w:pPr>
          </w:p>
        </w:tc>
        <w:tc>
          <w:tcPr>
            <w:tcW w:w="1203" w:type="pct"/>
          </w:tcPr>
          <w:p w14:paraId="3D9F25B1" w14:textId="77777777" w:rsidR="00785A98" w:rsidRPr="00B71282" w:rsidRDefault="00785A98" w:rsidP="00785A98">
            <w:pPr>
              <w:pStyle w:val="SJITableText"/>
            </w:pPr>
            <w:r w:rsidRPr="00B71282">
              <w:t>327.30(5)(a)2.</w:t>
            </w:r>
          </w:p>
        </w:tc>
        <w:tc>
          <w:tcPr>
            <w:tcW w:w="671" w:type="pct"/>
          </w:tcPr>
          <w:p w14:paraId="1D75D2CA" w14:textId="77777777" w:rsidR="00785A98" w:rsidRPr="00B71282" w:rsidRDefault="00785A98" w:rsidP="00785A98">
            <w:pPr>
              <w:pStyle w:val="SJITableText"/>
            </w:pPr>
            <w:r w:rsidRPr="00B71282">
              <w:t>28.23</w:t>
            </w:r>
          </w:p>
        </w:tc>
      </w:tr>
      <w:tr w:rsidR="00785A98" w:rsidRPr="00B71282" w14:paraId="31BE3829" w14:textId="77777777" w:rsidTr="00785A98">
        <w:tc>
          <w:tcPr>
            <w:tcW w:w="1874" w:type="pct"/>
          </w:tcPr>
          <w:p w14:paraId="2AA66FBC" w14:textId="77777777" w:rsidR="00785A98" w:rsidRPr="00B71282" w:rsidRDefault="00785A98" w:rsidP="00785A98">
            <w:pPr>
              <w:pStyle w:val="SJITableText"/>
            </w:pPr>
          </w:p>
        </w:tc>
        <w:tc>
          <w:tcPr>
            <w:tcW w:w="1251" w:type="pct"/>
          </w:tcPr>
          <w:p w14:paraId="4E1955C3" w14:textId="77777777" w:rsidR="00785A98" w:rsidRPr="00B71282" w:rsidRDefault="00785A98" w:rsidP="00785A98">
            <w:pPr>
              <w:pStyle w:val="SJITableText"/>
            </w:pPr>
            <w:r w:rsidRPr="00B71282">
              <w:t>Attempt</w:t>
            </w:r>
          </w:p>
        </w:tc>
        <w:tc>
          <w:tcPr>
            <w:tcW w:w="1203" w:type="pct"/>
          </w:tcPr>
          <w:p w14:paraId="3CFC0B35" w14:textId="77777777" w:rsidR="00785A98" w:rsidRPr="00B71282" w:rsidRDefault="00785A98" w:rsidP="00785A98">
            <w:pPr>
              <w:pStyle w:val="SJITableText"/>
            </w:pPr>
            <w:r w:rsidRPr="00B71282">
              <w:t>777.04(1)</w:t>
            </w:r>
          </w:p>
        </w:tc>
        <w:tc>
          <w:tcPr>
            <w:tcW w:w="671" w:type="pct"/>
          </w:tcPr>
          <w:p w14:paraId="2C46C347" w14:textId="77777777" w:rsidR="00785A98" w:rsidRPr="00B71282" w:rsidRDefault="00785A98" w:rsidP="00785A98">
            <w:pPr>
              <w:pStyle w:val="SJITableText"/>
            </w:pPr>
            <w:r w:rsidRPr="00B71282">
              <w:t>5.1</w:t>
            </w:r>
          </w:p>
        </w:tc>
      </w:tr>
    </w:tbl>
    <w:p w14:paraId="20A95F18" w14:textId="77777777" w:rsidR="00785A98" w:rsidRDefault="00785A98" w:rsidP="00785A98">
      <w:pPr>
        <w:pStyle w:val="SJIComments"/>
      </w:pPr>
    </w:p>
    <w:p w14:paraId="6C32C529" w14:textId="77777777" w:rsidR="00785A98" w:rsidRDefault="00785A98">
      <w:pPr>
        <w:spacing w:after="160"/>
        <w:ind w:firstLine="0"/>
        <w:rPr>
          <w:rFonts w:cs="Courier New"/>
          <w:b/>
        </w:rPr>
      </w:pPr>
      <w:r>
        <w:br w:type="page"/>
      </w:r>
    </w:p>
    <w:p w14:paraId="07196B9F" w14:textId="1CB1CDD9" w:rsidR="00785A98" w:rsidRPr="00B71282" w:rsidRDefault="00785A98" w:rsidP="00785A98">
      <w:pPr>
        <w:pStyle w:val="SJIComments"/>
      </w:pPr>
      <w:r w:rsidRPr="00B71282">
        <w:lastRenderedPageBreak/>
        <w:t>Comments</w:t>
      </w:r>
    </w:p>
    <w:p w14:paraId="754265B6" w14:textId="77777777" w:rsidR="00785A98" w:rsidRPr="00B71282" w:rsidRDefault="00785A98" w:rsidP="00785A98">
      <w:pPr>
        <w:autoSpaceDE w:val="0"/>
        <w:autoSpaceDN w:val="0"/>
        <w:adjustRightInd w:val="0"/>
        <w:rPr>
          <w:rFonts w:cs="Calibri"/>
          <w:color w:val="000000"/>
        </w:rPr>
      </w:pPr>
      <w:r w:rsidRPr="00B71282">
        <w:rPr>
          <w:rFonts w:cs="Calibri"/>
          <w:color w:val="000000"/>
        </w:rPr>
        <w:t xml:space="preserve">Unlike § 316.027, Fla. Stat., § 327.30, Fla. Stat., does not criminalize a willful violation of the statute, except where a death occurred and where the State is seeking a 4-year minimum mandatory sentence. For that reason, the Committee on Standard Jury Instructions in Criminal Cases has not added an element for the State to prove that the defendant knew (or should have known) of an outcome (property damage, injury, serious bodily injury, or death). As of </w:t>
      </w:r>
      <w:r>
        <w:rPr>
          <w:rFonts w:cs="Calibri"/>
          <w:color w:val="000000"/>
        </w:rPr>
        <w:t>May</w:t>
      </w:r>
      <w:r w:rsidRPr="00B71282">
        <w:rPr>
          <w:rFonts w:cs="Calibri"/>
          <w:color w:val="000000"/>
        </w:rPr>
        <w:t xml:space="preserve"> 2026, the courts had not decided whether the statute needs a </w:t>
      </w:r>
      <w:proofErr w:type="spellStart"/>
      <w:r w:rsidRPr="00B71282">
        <w:rPr>
          <w:rFonts w:cs="Calibri"/>
          <w:i/>
          <w:iCs/>
          <w:color w:val="000000"/>
        </w:rPr>
        <w:t>mens</w:t>
      </w:r>
      <w:proofErr w:type="spellEnd"/>
      <w:r w:rsidRPr="00B71282">
        <w:rPr>
          <w:rFonts w:cs="Calibri"/>
          <w:i/>
          <w:iCs/>
          <w:color w:val="000000"/>
        </w:rPr>
        <w:t xml:space="preserve"> rea </w:t>
      </w:r>
      <w:r w:rsidRPr="00B71282">
        <w:rPr>
          <w:rFonts w:cs="Calibri"/>
          <w:color w:val="000000"/>
        </w:rPr>
        <w:t>pertaining to a result of the accident.</w:t>
      </w:r>
    </w:p>
    <w:p w14:paraId="0F44E4BE" w14:textId="73FE31F9" w:rsidR="00785A98" w:rsidRPr="00B71282" w:rsidRDefault="00785A98" w:rsidP="00785A98">
      <w:pPr>
        <w:autoSpaceDE w:val="0"/>
        <w:autoSpaceDN w:val="0"/>
        <w:adjustRightInd w:val="0"/>
        <w:rPr>
          <w:rFonts w:cs="Calibri"/>
          <w:color w:val="000000"/>
        </w:rPr>
      </w:pPr>
      <w:r w:rsidRPr="00B71282">
        <w:rPr>
          <w:rFonts w:cs="Calibri"/>
          <w:color w:val="000000"/>
        </w:rPr>
        <w:t xml:space="preserve">*In </w:t>
      </w:r>
      <w:r w:rsidRPr="00B71282">
        <w:rPr>
          <w:rFonts w:cs="Calibri"/>
          <w:i/>
          <w:color w:val="000000"/>
        </w:rPr>
        <w:t>Williams v. State</w:t>
      </w:r>
      <w:r w:rsidRPr="00B71282">
        <w:rPr>
          <w:rFonts w:cs="Calibri"/>
          <w:color w:val="000000"/>
        </w:rPr>
        <w:t xml:space="preserve">, 732 So. 2d 431 (Fla. 2d DCA 1999), the court stated in dictum that Leaving the Scene of a Crash Involving Injury (for vehicle cases) is a necessarily lesser-included offense of Leaving the Scene of a Crash Involving Death. In other areas, however, where there is no dispute that a person was killed </w:t>
      </w:r>
      <w:proofErr w:type="gramStart"/>
      <w:r w:rsidRPr="00B71282">
        <w:rPr>
          <w:rFonts w:cs="Calibri"/>
          <w:color w:val="000000"/>
        </w:rPr>
        <w:t>as a result of</w:t>
      </w:r>
      <w:proofErr w:type="gramEnd"/>
      <w:r w:rsidRPr="00B71282">
        <w:rPr>
          <w:rFonts w:cs="Calibri"/>
          <w:color w:val="000000"/>
        </w:rPr>
        <w:t xml:space="preserve"> an incident giving rise to criminal charges, non-death lesser included crimes are not appropriate. </w:t>
      </w:r>
      <w:r w:rsidRPr="00B71282">
        <w:rPr>
          <w:rFonts w:cs="Calibri"/>
          <w:i/>
          <w:color w:val="000000"/>
        </w:rPr>
        <w:t>See, e.g., State v. Barritt,</w:t>
      </w:r>
      <w:r w:rsidRPr="00B71282">
        <w:rPr>
          <w:rFonts w:cs="Calibri"/>
          <w:color w:val="000000"/>
        </w:rPr>
        <w:t xml:space="preserve"> 531 So. 2d 338 (Fla. 1988); </w:t>
      </w:r>
      <w:r w:rsidRPr="00B71282">
        <w:rPr>
          <w:rFonts w:cs="Calibri"/>
          <w:i/>
          <w:color w:val="000000"/>
        </w:rPr>
        <w:t>Humphrey v. State</w:t>
      </w:r>
      <w:r w:rsidRPr="00B71282">
        <w:rPr>
          <w:rFonts w:cs="Calibri"/>
          <w:color w:val="000000"/>
        </w:rPr>
        <w:t>, 690 So. 2d 1351 (Fla. 3d DCA 1997).</w:t>
      </w:r>
    </w:p>
    <w:p w14:paraId="69E3B21E" w14:textId="331CBA5E" w:rsidR="007874CF" w:rsidRPr="00785A98" w:rsidRDefault="00785A98" w:rsidP="00785A98">
      <w:r w:rsidRPr="00B71282">
        <w:t>This instruction was adopted on June 12, 2026.</w:t>
      </w:r>
    </w:p>
    <w:sectPr w:rsidR="007874CF" w:rsidRPr="00785A98" w:rsidSect="00785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598F7DAE"/>
    <w:multiLevelType w:val="hybridMultilevel"/>
    <w:tmpl w:val="FFFFFFFF"/>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6DAC39F2"/>
    <w:multiLevelType w:val="hybridMultilevel"/>
    <w:tmpl w:val="154AF85E"/>
    <w:lvl w:ilvl="0" w:tplc="B8788602">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221239D"/>
    <w:multiLevelType w:val="hybridMultilevel"/>
    <w:tmpl w:val="55028184"/>
    <w:lvl w:ilvl="0" w:tplc="32FA052A">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765E56EF"/>
    <w:multiLevelType w:val="hybridMultilevel"/>
    <w:tmpl w:val="C1D2219C"/>
    <w:lvl w:ilvl="0" w:tplc="E60C1AC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00555358">
    <w:abstractNumId w:val="1"/>
  </w:num>
  <w:num w:numId="2" w16cid:durableId="520708106">
    <w:abstractNumId w:val="2"/>
  </w:num>
  <w:num w:numId="3" w16cid:durableId="865409230">
    <w:abstractNumId w:val="0"/>
  </w:num>
  <w:num w:numId="4" w16cid:durableId="1452939189">
    <w:abstractNumId w:val="0"/>
  </w:num>
  <w:num w:numId="5" w16cid:durableId="101650119">
    <w:abstractNumId w:val="4"/>
  </w:num>
  <w:num w:numId="6" w16cid:durableId="1332179294">
    <w:abstractNumId w:val="3"/>
  </w:num>
  <w:num w:numId="7" w16cid:durableId="148324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44"/>
    <w:rsid w:val="00076773"/>
    <w:rsid w:val="001A69AE"/>
    <w:rsid w:val="00262444"/>
    <w:rsid w:val="00276059"/>
    <w:rsid w:val="00286C94"/>
    <w:rsid w:val="002A19DA"/>
    <w:rsid w:val="002E1B0E"/>
    <w:rsid w:val="003C2B3B"/>
    <w:rsid w:val="003E05DE"/>
    <w:rsid w:val="004178C4"/>
    <w:rsid w:val="004A4C40"/>
    <w:rsid w:val="004C3A36"/>
    <w:rsid w:val="00526223"/>
    <w:rsid w:val="005307A1"/>
    <w:rsid w:val="005E099F"/>
    <w:rsid w:val="00671E14"/>
    <w:rsid w:val="00705375"/>
    <w:rsid w:val="00753B31"/>
    <w:rsid w:val="007556DA"/>
    <w:rsid w:val="00785A98"/>
    <w:rsid w:val="007874CF"/>
    <w:rsid w:val="007D1EBA"/>
    <w:rsid w:val="00810C8B"/>
    <w:rsid w:val="009435D1"/>
    <w:rsid w:val="00B20FFD"/>
    <w:rsid w:val="00B560B6"/>
    <w:rsid w:val="00B731D3"/>
    <w:rsid w:val="00BC4B81"/>
    <w:rsid w:val="00C25548"/>
    <w:rsid w:val="00C358B8"/>
    <w:rsid w:val="00CB3978"/>
    <w:rsid w:val="00CB7717"/>
    <w:rsid w:val="00CC4D24"/>
    <w:rsid w:val="00CD52F8"/>
    <w:rsid w:val="00E017DB"/>
    <w:rsid w:val="00E40FE9"/>
    <w:rsid w:val="00E52076"/>
    <w:rsid w:val="00E53354"/>
    <w:rsid w:val="00E64D68"/>
    <w:rsid w:val="00E66A64"/>
    <w:rsid w:val="00EF65D3"/>
    <w:rsid w:val="00F16FA0"/>
    <w:rsid w:val="00FE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4A4AD"/>
  <w14:defaultImageDpi w14:val="0"/>
  <w15:docId w15:val="{BB195004-AD1A-44AE-88CC-852CCC26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444"/>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262444"/>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262444"/>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262444"/>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262444"/>
    <w:pPr>
      <w:outlineLvl w:val="3"/>
    </w:pPr>
  </w:style>
  <w:style w:type="paragraph" w:styleId="Heading5">
    <w:name w:val="heading 5"/>
    <w:basedOn w:val="Normal"/>
    <w:next w:val="Normal"/>
    <w:link w:val="Heading5Char"/>
    <w:uiPriority w:val="9"/>
    <w:qFormat/>
    <w:rsid w:val="00262444"/>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262444"/>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262444"/>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262444"/>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262444"/>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2444"/>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262444"/>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262444"/>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262444"/>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26244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262444"/>
    <w:rPr>
      <w:rFonts w:ascii="Times New Roman" w:hAnsi="Times New Roman" w:cs="Times New Roman"/>
      <w:b/>
      <w:bCs/>
    </w:rPr>
  </w:style>
  <w:style w:type="character" w:customStyle="1" w:styleId="Heading7Char">
    <w:name w:val="Heading 7 Char"/>
    <w:basedOn w:val="DefaultParagraphFont"/>
    <w:link w:val="Heading7"/>
    <w:uiPriority w:val="9"/>
    <w:locked/>
    <w:rsid w:val="00262444"/>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262444"/>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262444"/>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StatuteinTitle">
    <w:name w:val="SJI Statute in Title"/>
    <w:basedOn w:val="Normal"/>
    <w:qFormat/>
    <w:rsid w:val="00262444"/>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262444"/>
    <w:pPr>
      <w:tabs>
        <w:tab w:val="left" w:pos="720"/>
      </w:tabs>
      <w:suppressAutoHyphens/>
      <w:spacing w:after="0"/>
    </w:pPr>
    <w:rPr>
      <w:rFonts w:cs="Times New Roman"/>
      <w:i/>
      <w:iCs/>
      <w:szCs w:val="24"/>
    </w:rPr>
  </w:style>
  <w:style w:type="paragraph" w:customStyle="1" w:styleId="SJIComments">
    <w:name w:val="SJI Comments"/>
    <w:basedOn w:val="Normal"/>
    <w:qFormat/>
    <w:rsid w:val="00262444"/>
    <w:pPr>
      <w:spacing w:before="220"/>
      <w:ind w:firstLine="0"/>
      <w:jc w:val="center"/>
    </w:pPr>
    <w:rPr>
      <w:rFonts w:cs="Courier New"/>
      <w:b/>
    </w:rPr>
  </w:style>
  <w:style w:type="paragraph" w:customStyle="1" w:styleId="SJIlist1">
    <w:name w:val="SJI list 1"/>
    <w:basedOn w:val="Normal"/>
    <w:qFormat/>
    <w:rsid w:val="00262444"/>
    <w:pPr>
      <w:widowControl w:val="0"/>
      <w:autoSpaceDE w:val="0"/>
      <w:autoSpaceDN w:val="0"/>
      <w:adjustRightInd w:val="0"/>
      <w:ind w:left="1296" w:hanging="576"/>
    </w:pPr>
    <w:rPr>
      <w:rFonts w:cs="Times New Roman"/>
    </w:rPr>
  </w:style>
  <w:style w:type="character" w:customStyle="1" w:styleId="SJIBold">
    <w:name w:val="SJI Bold"/>
    <w:uiPriority w:val="1"/>
    <w:qFormat/>
    <w:rsid w:val="00262444"/>
    <w:rPr>
      <w:b/>
    </w:rPr>
  </w:style>
  <w:style w:type="paragraph" w:customStyle="1" w:styleId="SJIText">
    <w:name w:val="SJI Text"/>
    <w:basedOn w:val="Normal"/>
    <w:next w:val="Normal"/>
    <w:qFormat/>
    <w:rsid w:val="00262444"/>
    <w:rPr>
      <w:rFonts w:cs="Times New Roman"/>
    </w:rPr>
  </w:style>
  <w:style w:type="paragraph" w:customStyle="1" w:styleId="SJITableText">
    <w:name w:val="SJI Table Text"/>
    <w:basedOn w:val="Normal"/>
    <w:qFormat/>
    <w:rsid w:val="00262444"/>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262444"/>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262444"/>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262444"/>
    <w:pPr>
      <w:numPr>
        <w:numId w:val="4"/>
      </w:numPr>
    </w:pPr>
    <w:rPr>
      <w:rFonts w:cs="Times New Roman"/>
    </w:rPr>
  </w:style>
  <w:style w:type="paragraph" w:styleId="ListParagraph">
    <w:name w:val="List Paragraph"/>
    <w:basedOn w:val="Normal"/>
    <w:uiPriority w:val="34"/>
    <w:qFormat/>
    <w:rsid w:val="00262444"/>
    <w:pPr>
      <w:ind w:left="720"/>
    </w:pPr>
  </w:style>
  <w:style w:type="paragraph" w:customStyle="1" w:styleId="SJITableNotation">
    <w:name w:val="SJI Table Notation"/>
    <w:basedOn w:val="SJITableText"/>
    <w:qFormat/>
    <w:rsid w:val="00262444"/>
    <w:pPr>
      <w:spacing w:before="120" w:after="240"/>
    </w:pPr>
  </w:style>
  <w:style w:type="character" w:customStyle="1" w:styleId="SJIUnderline">
    <w:name w:val="SJI Underline"/>
    <w:uiPriority w:val="1"/>
    <w:qFormat/>
    <w:rsid w:val="00262444"/>
    <w:rPr>
      <w:rFonts w:ascii="Times New Roman" w:hAnsi="Times New Roman"/>
      <w:sz w:val="28"/>
      <w:u w:val="single"/>
    </w:rPr>
  </w:style>
  <w:style w:type="paragraph" w:styleId="Caption">
    <w:name w:val="caption"/>
    <w:basedOn w:val="Normal"/>
    <w:next w:val="Normal"/>
    <w:uiPriority w:val="35"/>
    <w:semiHidden/>
    <w:unhideWhenUsed/>
    <w:qFormat/>
    <w:rsid w:val="00262444"/>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262444"/>
    <w:pPr>
      <w:jc w:val="center"/>
    </w:pPr>
    <w:rPr>
      <w:rFonts w:cs="Times New Roman"/>
      <w:b/>
      <w:bCs/>
      <w:sz w:val="28"/>
      <w:szCs w:val="28"/>
    </w:rPr>
  </w:style>
  <w:style w:type="character" w:customStyle="1" w:styleId="TitleChar">
    <w:name w:val="Title Char"/>
    <w:basedOn w:val="DefaultParagraphFont"/>
    <w:link w:val="Title"/>
    <w:uiPriority w:val="10"/>
    <w:locked/>
    <w:rsid w:val="00262444"/>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262444"/>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262444"/>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262444"/>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262444"/>
    <w:rPr>
      <w:rFonts w:ascii="Bookman Old Style" w:hAnsi="Bookman Old Style" w:cs="Times New Roman"/>
      <w:color w:val="000000"/>
    </w:rPr>
  </w:style>
  <w:style w:type="paragraph" w:styleId="Quote">
    <w:name w:val="Quote"/>
    <w:basedOn w:val="Normal"/>
    <w:next w:val="Normal"/>
    <w:link w:val="QuoteChar"/>
    <w:uiPriority w:val="29"/>
    <w:qFormat/>
    <w:rsid w:val="00262444"/>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262444"/>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262444"/>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262444"/>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262444"/>
    <w:pPr>
      <w:outlineLvl w:val="9"/>
    </w:pPr>
    <w:rPr>
      <w:b w:val="0"/>
      <w:caps w:val="0"/>
      <w:sz w:val="32"/>
    </w:rPr>
  </w:style>
  <w:style w:type="numbering" w:customStyle="1" w:styleId="NumberandSubs">
    <w:name w:val="Number and Subs"/>
    <w:pPr>
      <w:numPr>
        <w:numId w:val="1"/>
      </w:numPr>
    </w:pPr>
  </w:style>
  <w:style w:type="table" w:customStyle="1" w:styleId="TableGrid11">
    <w:name w:val="Table Grid11"/>
    <w:basedOn w:val="TableNormal"/>
    <w:next w:val="TableGrid"/>
    <w:uiPriority w:val="99"/>
    <w:rsid w:val="00E64D6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E64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E53354"/>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Yu Gothic Light" w:hAnsi="@Yu Gothic Light" w:cs="Times New Roman"/>
        <w:b/>
        <w:sz w:val="22"/>
      </w:rPr>
    </w:tblStylePr>
  </w:style>
  <w:style w:type="table" w:styleId="TableGridLight">
    <w:name w:val="Grid Table Light"/>
    <w:basedOn w:val="TableNormal"/>
    <w:uiPriority w:val="40"/>
    <w:rsid w:val="00785A98"/>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85A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95760">
      <w:marLeft w:val="0"/>
      <w:marRight w:val="0"/>
      <w:marTop w:val="0"/>
      <w:marBottom w:val="0"/>
      <w:divBdr>
        <w:top w:val="none" w:sz="0" w:space="0" w:color="auto"/>
        <w:left w:val="none" w:sz="0" w:space="0" w:color="auto"/>
        <w:bottom w:val="none" w:sz="0" w:space="0" w:color="auto"/>
        <w:right w:val="none" w:sz="0" w:space="0" w:color="auto"/>
      </w:divBdr>
    </w:div>
    <w:div w:id="726995761">
      <w:marLeft w:val="0"/>
      <w:marRight w:val="0"/>
      <w:marTop w:val="0"/>
      <w:marBottom w:val="0"/>
      <w:divBdr>
        <w:top w:val="none" w:sz="0" w:space="0" w:color="auto"/>
        <w:left w:val="none" w:sz="0" w:space="0" w:color="auto"/>
        <w:bottom w:val="none" w:sz="0" w:space="0" w:color="auto"/>
        <w:right w:val="none" w:sz="0" w:space="0" w:color="auto"/>
      </w:divBdr>
    </w:div>
    <w:div w:id="726995762">
      <w:marLeft w:val="0"/>
      <w:marRight w:val="0"/>
      <w:marTop w:val="0"/>
      <w:marBottom w:val="0"/>
      <w:divBdr>
        <w:top w:val="none" w:sz="0" w:space="0" w:color="auto"/>
        <w:left w:val="none" w:sz="0" w:space="0" w:color="auto"/>
        <w:bottom w:val="none" w:sz="0" w:space="0" w:color="auto"/>
        <w:right w:val="none" w:sz="0" w:space="0" w:color="auto"/>
      </w:divBdr>
    </w:div>
    <w:div w:id="726995763">
      <w:marLeft w:val="0"/>
      <w:marRight w:val="0"/>
      <w:marTop w:val="0"/>
      <w:marBottom w:val="0"/>
      <w:divBdr>
        <w:top w:val="none" w:sz="0" w:space="0" w:color="auto"/>
        <w:left w:val="none" w:sz="0" w:space="0" w:color="auto"/>
        <w:bottom w:val="none" w:sz="0" w:space="0" w:color="auto"/>
        <w:right w:val="none" w:sz="0" w:space="0" w:color="auto"/>
      </w:divBdr>
    </w:div>
    <w:div w:id="726995764">
      <w:marLeft w:val="0"/>
      <w:marRight w:val="0"/>
      <w:marTop w:val="0"/>
      <w:marBottom w:val="0"/>
      <w:divBdr>
        <w:top w:val="none" w:sz="0" w:space="0" w:color="auto"/>
        <w:left w:val="none" w:sz="0" w:space="0" w:color="auto"/>
        <w:bottom w:val="none" w:sz="0" w:space="0" w:color="auto"/>
        <w:right w:val="none" w:sz="0" w:space="0" w:color="auto"/>
      </w:divBdr>
    </w:div>
    <w:div w:id="726995765">
      <w:marLeft w:val="0"/>
      <w:marRight w:val="0"/>
      <w:marTop w:val="0"/>
      <w:marBottom w:val="0"/>
      <w:divBdr>
        <w:top w:val="none" w:sz="0" w:space="0" w:color="auto"/>
        <w:left w:val="none" w:sz="0" w:space="0" w:color="auto"/>
        <w:bottom w:val="none" w:sz="0" w:space="0" w:color="auto"/>
        <w:right w:val="none" w:sz="0" w:space="0" w:color="auto"/>
      </w:divBdr>
    </w:div>
    <w:div w:id="726995766">
      <w:marLeft w:val="0"/>
      <w:marRight w:val="0"/>
      <w:marTop w:val="0"/>
      <w:marBottom w:val="0"/>
      <w:divBdr>
        <w:top w:val="none" w:sz="0" w:space="0" w:color="auto"/>
        <w:left w:val="none" w:sz="0" w:space="0" w:color="auto"/>
        <w:bottom w:val="none" w:sz="0" w:space="0" w:color="auto"/>
        <w:right w:val="none" w:sz="0" w:space="0" w:color="auto"/>
      </w:divBdr>
    </w:div>
    <w:div w:id="726995767">
      <w:marLeft w:val="0"/>
      <w:marRight w:val="0"/>
      <w:marTop w:val="0"/>
      <w:marBottom w:val="0"/>
      <w:divBdr>
        <w:top w:val="none" w:sz="0" w:space="0" w:color="auto"/>
        <w:left w:val="none" w:sz="0" w:space="0" w:color="auto"/>
        <w:bottom w:val="none" w:sz="0" w:space="0" w:color="auto"/>
        <w:right w:val="none" w:sz="0" w:space="0" w:color="auto"/>
      </w:divBdr>
    </w:div>
    <w:div w:id="1879510528">
      <w:bodyDiv w:val="1"/>
      <w:marLeft w:val="0"/>
      <w:marRight w:val="0"/>
      <w:marTop w:val="0"/>
      <w:marBottom w:val="0"/>
      <w:divBdr>
        <w:top w:val="none" w:sz="0" w:space="0" w:color="auto"/>
        <w:left w:val="none" w:sz="0" w:space="0" w:color="auto"/>
        <w:bottom w:val="none" w:sz="0" w:space="0" w:color="auto"/>
        <w:right w:val="none" w:sz="0" w:space="0" w:color="auto"/>
      </w:divBdr>
      <w:divsChild>
        <w:div w:id="1416364717">
          <w:marLeft w:val="0"/>
          <w:marRight w:val="0"/>
          <w:marTop w:val="0"/>
          <w:marBottom w:val="0"/>
          <w:divBdr>
            <w:top w:val="none" w:sz="0" w:space="0" w:color="auto"/>
            <w:left w:val="none" w:sz="0" w:space="0" w:color="auto"/>
            <w:bottom w:val="none" w:sz="0" w:space="0" w:color="auto"/>
            <w:right w:val="none" w:sz="0" w:space="0" w:color="auto"/>
          </w:divBdr>
        </w:div>
        <w:div w:id="1039010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5</cp:revision>
  <dcterms:created xsi:type="dcterms:W3CDTF">2026-06-15T15:17:00Z</dcterms:created>
  <dcterms:modified xsi:type="dcterms:W3CDTF">2026-06-15T15:18:00Z</dcterms:modified>
</cp:coreProperties>
</file>