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91F7" w14:textId="0BB909E6" w:rsidR="003320FD" w:rsidRPr="00C40EA2" w:rsidRDefault="003320FD" w:rsidP="003320FD">
      <w:pPr>
        <w:pStyle w:val="Heading3"/>
      </w:pPr>
      <w:bookmarkStart w:id="0" w:name="_Toc109650389"/>
      <w:bookmarkStart w:id="1" w:name="_Toc109807629"/>
      <w:r w:rsidRPr="00C40EA2">
        <w:t>9.</w:t>
      </w:r>
      <w:r w:rsidR="0096289F" w:rsidRPr="00C40EA2">
        <w:t>7</w:t>
      </w:r>
      <w:r w:rsidRPr="00C40EA2">
        <w:t xml:space="preserve"> </w:t>
      </w:r>
      <w:r w:rsidR="00817B18" w:rsidRPr="00C40EA2">
        <w:rPr>
          <w:caps w:val="0"/>
        </w:rPr>
        <w:t xml:space="preserve">[ATTEMPTED] LURING OR ENTICING A CHILD </w:t>
      </w:r>
      <w:bookmarkEnd w:id="0"/>
      <w:bookmarkEnd w:id="1"/>
    </w:p>
    <w:p w14:paraId="3DD46D7F" w14:textId="19F02293" w:rsidR="003320FD" w:rsidRPr="00C40EA2" w:rsidRDefault="003320FD" w:rsidP="003320FD">
      <w:pPr>
        <w:pStyle w:val="SJIStatuteinTitle"/>
      </w:pPr>
      <w:r w:rsidRPr="00C40EA2">
        <w:t>§ 787.0</w:t>
      </w:r>
      <w:r w:rsidR="00CA6EB5" w:rsidRPr="00C40EA2">
        <w:t>25</w:t>
      </w:r>
      <w:r w:rsidRPr="00C40EA2">
        <w:t>, Fla. Stat.</w:t>
      </w:r>
    </w:p>
    <w:p w14:paraId="197986E4" w14:textId="35D9ACD9" w:rsidR="003320FD" w:rsidRPr="00C40EA2" w:rsidRDefault="003320FD" w:rsidP="003320FD">
      <w:pPr>
        <w:spacing w:after="280"/>
        <w:rPr>
          <w:b/>
          <w:bCs/>
        </w:rPr>
      </w:pPr>
      <w:r w:rsidRPr="00C40EA2">
        <w:rPr>
          <w:b/>
          <w:bCs/>
        </w:rPr>
        <w:t>To prove the crime of</w:t>
      </w:r>
      <w:r w:rsidR="00CA6EB5" w:rsidRPr="00C40EA2">
        <w:rPr>
          <w:b/>
          <w:bCs/>
        </w:rPr>
        <w:t xml:space="preserve"> </w:t>
      </w:r>
      <w:r w:rsidR="0027678C" w:rsidRPr="00C40EA2">
        <w:rPr>
          <w:b/>
          <w:bCs/>
        </w:rPr>
        <w:t xml:space="preserve">[Attempted] </w:t>
      </w:r>
      <w:r w:rsidR="00351E36" w:rsidRPr="00C40EA2">
        <w:rPr>
          <w:b/>
          <w:bCs/>
        </w:rPr>
        <w:t>L</w:t>
      </w:r>
      <w:r w:rsidR="00CA6EB5" w:rsidRPr="00C40EA2">
        <w:rPr>
          <w:b/>
          <w:bCs/>
        </w:rPr>
        <w:t xml:space="preserve">uring or </w:t>
      </w:r>
      <w:r w:rsidR="00351E36" w:rsidRPr="00C40EA2">
        <w:rPr>
          <w:b/>
          <w:bCs/>
        </w:rPr>
        <w:t>E</w:t>
      </w:r>
      <w:r w:rsidR="00CA6EB5" w:rsidRPr="00C40EA2">
        <w:rPr>
          <w:b/>
          <w:bCs/>
        </w:rPr>
        <w:t xml:space="preserve">nticing a </w:t>
      </w:r>
      <w:r w:rsidR="00351E36" w:rsidRPr="00C40EA2">
        <w:rPr>
          <w:b/>
          <w:bCs/>
        </w:rPr>
        <w:t>C</w:t>
      </w:r>
      <w:r w:rsidR="00CA6EB5" w:rsidRPr="00C40EA2">
        <w:rPr>
          <w:b/>
          <w:bCs/>
        </w:rPr>
        <w:t>hild</w:t>
      </w:r>
      <w:r w:rsidRPr="00C40EA2">
        <w:rPr>
          <w:b/>
          <w:bCs/>
        </w:rPr>
        <w:t>, the State must prove the following</w:t>
      </w:r>
      <w:r w:rsidR="00CA6EB5" w:rsidRPr="00C40EA2">
        <w:rPr>
          <w:b/>
          <w:bCs/>
        </w:rPr>
        <w:t xml:space="preserve"> </w:t>
      </w:r>
      <w:r w:rsidR="007853BA" w:rsidRPr="00C40EA2">
        <w:rPr>
          <w:b/>
          <w:bCs/>
        </w:rPr>
        <w:t>four</w:t>
      </w:r>
      <w:r w:rsidRPr="00C40EA2">
        <w:rPr>
          <w:b/>
          <w:bCs/>
        </w:rPr>
        <w:t xml:space="preserve"> elements beyond a reasonable doubt:</w:t>
      </w:r>
    </w:p>
    <w:p w14:paraId="277BE9E4" w14:textId="5D926EF3" w:rsidR="00CA6EB5" w:rsidRPr="00C40EA2" w:rsidRDefault="003320FD" w:rsidP="001E5BD2">
      <w:pPr>
        <w:pStyle w:val="ListParagraph"/>
        <w:numPr>
          <w:ilvl w:val="0"/>
          <w:numId w:val="2"/>
        </w:numPr>
        <w:ind w:left="1440" w:hanging="720"/>
        <w:rPr>
          <w:b/>
          <w:bCs/>
        </w:rPr>
      </w:pPr>
      <w:r w:rsidRPr="00C40EA2">
        <w:rPr>
          <w:bCs/>
        </w:rPr>
        <w:t>(Defendant)</w:t>
      </w:r>
      <w:r w:rsidRPr="00C40EA2">
        <w:rPr>
          <w:b/>
          <w:bCs/>
        </w:rPr>
        <w:t xml:space="preserve"> </w:t>
      </w:r>
      <w:r w:rsidR="00CA6EB5" w:rsidRPr="00C40EA2">
        <w:rPr>
          <w:b/>
          <w:bCs/>
        </w:rPr>
        <w:t>intentionally lured or enticed</w:t>
      </w:r>
      <w:r w:rsidR="007853BA" w:rsidRPr="00C40EA2">
        <w:rPr>
          <w:b/>
          <w:bCs/>
        </w:rPr>
        <w:t xml:space="preserve"> [</w:t>
      </w:r>
      <w:r w:rsidR="00CA6EB5" w:rsidRPr="00C40EA2">
        <w:rPr>
          <w:b/>
          <w:bCs/>
        </w:rPr>
        <w:t xml:space="preserve">attempted to lure or </w:t>
      </w:r>
      <w:r w:rsidR="007853BA" w:rsidRPr="00C40EA2">
        <w:rPr>
          <w:b/>
          <w:bCs/>
        </w:rPr>
        <w:t xml:space="preserve">  </w:t>
      </w:r>
      <w:r w:rsidR="00CA6EB5" w:rsidRPr="00C40EA2">
        <w:rPr>
          <w:b/>
          <w:bCs/>
        </w:rPr>
        <w:t xml:space="preserve">entice] </w:t>
      </w:r>
      <w:r w:rsidR="00CA6EB5" w:rsidRPr="00C40EA2">
        <w:t>(victim</w:t>
      </w:r>
      <w:r w:rsidR="00CA6EB5" w:rsidRPr="00C40EA2">
        <w:rPr>
          <w:i/>
          <w:iCs/>
        </w:rPr>
        <w:t>)</w:t>
      </w:r>
      <w:r w:rsidR="00CA6EB5" w:rsidRPr="00C40EA2">
        <w:rPr>
          <w:b/>
          <w:bCs/>
        </w:rPr>
        <w:t xml:space="preserve"> into </w:t>
      </w:r>
      <w:r w:rsidR="007853BA" w:rsidRPr="00C40EA2">
        <w:rPr>
          <w:b/>
          <w:bCs/>
        </w:rPr>
        <w:t xml:space="preserve">or out of </w:t>
      </w:r>
      <w:r w:rsidR="00CA6EB5" w:rsidRPr="00C40EA2">
        <w:rPr>
          <w:b/>
          <w:bCs/>
        </w:rPr>
        <w:t xml:space="preserve">a </w:t>
      </w:r>
      <w:r w:rsidR="007853BA" w:rsidRPr="00C40EA2">
        <w:rPr>
          <w:b/>
          <w:bCs/>
        </w:rPr>
        <w:t>[</w:t>
      </w:r>
      <w:r w:rsidR="00CA6EB5" w:rsidRPr="00C40EA2">
        <w:rPr>
          <w:b/>
          <w:bCs/>
        </w:rPr>
        <w:t>structure</w:t>
      </w:r>
      <w:r w:rsidR="007853BA" w:rsidRPr="00C40EA2">
        <w:rPr>
          <w:b/>
          <w:bCs/>
        </w:rPr>
        <w:t>]</w:t>
      </w:r>
      <w:r w:rsidR="00CA6EB5" w:rsidRPr="00C40EA2">
        <w:rPr>
          <w:b/>
          <w:bCs/>
        </w:rPr>
        <w:t xml:space="preserve"> </w:t>
      </w:r>
      <w:r w:rsidR="007853BA" w:rsidRPr="00C40EA2">
        <w:rPr>
          <w:b/>
          <w:bCs/>
        </w:rPr>
        <w:t>[</w:t>
      </w:r>
      <w:r w:rsidR="00CA6EB5" w:rsidRPr="00C40EA2">
        <w:rPr>
          <w:b/>
          <w:bCs/>
        </w:rPr>
        <w:t>dwelling</w:t>
      </w:r>
      <w:r w:rsidR="007853BA" w:rsidRPr="00C40EA2">
        <w:rPr>
          <w:b/>
          <w:bCs/>
        </w:rPr>
        <w:t>] [</w:t>
      </w:r>
      <w:r w:rsidR="00CA6EB5" w:rsidRPr="00C40EA2">
        <w:rPr>
          <w:b/>
          <w:bCs/>
        </w:rPr>
        <w:t>conveyance</w:t>
      </w:r>
      <w:r w:rsidR="007853BA" w:rsidRPr="00C40EA2">
        <w:rPr>
          <w:b/>
          <w:bCs/>
        </w:rPr>
        <w:t>].</w:t>
      </w:r>
    </w:p>
    <w:p w14:paraId="0EC76E96" w14:textId="79F09A3A" w:rsidR="007853BA" w:rsidRPr="00C40EA2" w:rsidRDefault="007853BA" w:rsidP="003320FD">
      <w:pPr>
        <w:pStyle w:val="ListParagraph"/>
        <w:numPr>
          <w:ilvl w:val="0"/>
          <w:numId w:val="2"/>
        </w:numPr>
        <w:ind w:left="144" w:firstLine="576"/>
        <w:rPr>
          <w:b/>
          <w:bCs/>
        </w:rPr>
      </w:pPr>
      <w:r w:rsidRPr="00C40EA2">
        <w:rPr>
          <w:b/>
          <w:bCs/>
        </w:rPr>
        <w:t>[He] [She] did so for</w:t>
      </w:r>
      <w:r w:rsidR="00D23063" w:rsidRPr="00C40EA2">
        <w:rPr>
          <w:b/>
          <w:bCs/>
        </w:rPr>
        <w:t xml:space="preserve"> an unlawful purpose</w:t>
      </w:r>
      <w:r w:rsidR="00987418" w:rsidRPr="00C40EA2">
        <w:rPr>
          <w:b/>
          <w:bCs/>
        </w:rPr>
        <w:t xml:space="preserve">. </w:t>
      </w:r>
      <w:r w:rsidR="00A72F57" w:rsidRPr="00C40EA2">
        <w:rPr>
          <w:b/>
          <w:bCs/>
        </w:rPr>
        <w:t xml:space="preserve"> </w:t>
      </w:r>
    </w:p>
    <w:p w14:paraId="685DFE8E" w14:textId="0977F8D2" w:rsidR="00CA6EB5" w:rsidRPr="00C40EA2" w:rsidRDefault="00CA6EB5" w:rsidP="003320FD">
      <w:pPr>
        <w:pStyle w:val="ListParagraph"/>
        <w:numPr>
          <w:ilvl w:val="0"/>
          <w:numId w:val="2"/>
        </w:numPr>
        <w:ind w:left="144" w:firstLine="576"/>
        <w:rPr>
          <w:b/>
          <w:bCs/>
        </w:rPr>
      </w:pPr>
      <w:r w:rsidRPr="00C40EA2">
        <w:rPr>
          <w:b/>
          <w:bCs/>
        </w:rPr>
        <w:t>At the time</w:t>
      </w:r>
      <w:r w:rsidR="007853BA" w:rsidRPr="00C40EA2">
        <w:rPr>
          <w:b/>
          <w:bCs/>
        </w:rPr>
        <w:t>,</w:t>
      </w:r>
      <w:r w:rsidRPr="00C40EA2">
        <w:rPr>
          <w:b/>
          <w:bCs/>
        </w:rPr>
        <w:t xml:space="preserve"> </w:t>
      </w:r>
      <w:r w:rsidRPr="00C40EA2">
        <w:t>(victim)</w:t>
      </w:r>
      <w:r w:rsidRPr="00C40EA2">
        <w:rPr>
          <w:b/>
          <w:bCs/>
        </w:rPr>
        <w:t xml:space="preserve"> was under the age of 14</w:t>
      </w:r>
      <w:r w:rsidR="007853BA" w:rsidRPr="00C40EA2">
        <w:rPr>
          <w:b/>
          <w:bCs/>
        </w:rPr>
        <w:t>.</w:t>
      </w:r>
      <w:r w:rsidRPr="00C40EA2">
        <w:rPr>
          <w:b/>
          <w:bCs/>
        </w:rPr>
        <w:t xml:space="preserve"> </w:t>
      </w:r>
    </w:p>
    <w:p w14:paraId="600DF707" w14:textId="150F0347" w:rsidR="003320FD" w:rsidRPr="00C40EA2" w:rsidRDefault="00CA6EB5" w:rsidP="00435EBD">
      <w:pPr>
        <w:pStyle w:val="ListParagraph"/>
        <w:numPr>
          <w:ilvl w:val="0"/>
          <w:numId w:val="2"/>
        </w:numPr>
        <w:ind w:left="144" w:firstLine="576"/>
        <w:rPr>
          <w:b/>
          <w:bCs/>
        </w:rPr>
      </w:pPr>
      <w:r w:rsidRPr="00C40EA2">
        <w:rPr>
          <w:b/>
          <w:bCs/>
        </w:rPr>
        <w:t xml:space="preserve">At the time, </w:t>
      </w:r>
      <w:r w:rsidRPr="002350FF">
        <w:t>(</w:t>
      </w:r>
      <w:r w:rsidR="007853BA" w:rsidRPr="00C40EA2">
        <w:t>d</w:t>
      </w:r>
      <w:r w:rsidRPr="00C40EA2">
        <w:t>efendant)</w:t>
      </w:r>
      <w:r w:rsidRPr="00C40EA2">
        <w:rPr>
          <w:b/>
          <w:bCs/>
        </w:rPr>
        <w:t xml:space="preserve"> was 18 years of age or older, </w:t>
      </w:r>
    </w:p>
    <w:p w14:paraId="1C1E8BC3" w14:textId="38ABD3D2" w:rsidR="00763148" w:rsidRPr="00C40EA2" w:rsidRDefault="00763148" w:rsidP="00763148">
      <w:pPr>
        <w:spacing w:after="280"/>
        <w:rPr>
          <w:b/>
          <w:bCs/>
        </w:rPr>
      </w:pPr>
      <w:r w:rsidRPr="00C40EA2">
        <w:rPr>
          <w:b/>
          <w:bCs/>
        </w:rPr>
        <w:t xml:space="preserve">The unlawful purpose in element #2 must be for a purpose other than committing this crime. </w:t>
      </w:r>
    </w:p>
    <w:p w14:paraId="01AE6FA0" w14:textId="7ADE504A" w:rsidR="00172B65" w:rsidRPr="00C40EA2" w:rsidRDefault="00172B65" w:rsidP="00172B65">
      <w:pPr>
        <w:pStyle w:val="NormalWeb"/>
        <w:spacing w:after="0" w:afterAutospacing="0"/>
        <w:ind w:firstLine="720"/>
        <w:rPr>
          <w:rFonts w:ascii="Bookman Old Style" w:hAnsi="Bookman Old Style"/>
          <w:i/>
          <w:iCs/>
          <w:color w:val="000000"/>
          <w:sz w:val="22"/>
          <w:szCs w:val="22"/>
        </w:rPr>
      </w:pPr>
      <w:r w:rsidRPr="00C40EA2">
        <w:rPr>
          <w:rFonts w:ascii="Bookman Old Style" w:hAnsi="Bookman Old Style"/>
          <w:i/>
          <w:iCs/>
          <w:color w:val="000000"/>
          <w:sz w:val="22"/>
          <w:szCs w:val="22"/>
        </w:rPr>
        <w:t xml:space="preserve">Give as applicable. </w:t>
      </w:r>
    </w:p>
    <w:p w14:paraId="4D550DBD" w14:textId="29269C93" w:rsidR="00E5421F" w:rsidRPr="00B65C13" w:rsidRDefault="00E5421F" w:rsidP="00B65C13">
      <w:pPr>
        <w:rPr>
          <w:b/>
          <w:bCs/>
        </w:rPr>
      </w:pPr>
      <w:r w:rsidRPr="00B65C13">
        <w:rPr>
          <w:b/>
          <w:bCs/>
        </w:rPr>
        <w:t>“Structure” means a building of any kind, either temporary or permanent, that has a roof over it, and the enclosed space of ground and outbuildings immediately surrounding that structure. [The enclosure need not be continuous as it may have an ungated opening for entering and exiting.]</w:t>
      </w:r>
    </w:p>
    <w:p w14:paraId="593E1239" w14:textId="7C762FE6" w:rsidR="00E5421F" w:rsidRPr="00C40EA2" w:rsidRDefault="00E5421F" w:rsidP="00C353B2">
      <w:pPr>
        <w:tabs>
          <w:tab w:val="left" w:pos="720"/>
        </w:tabs>
        <w:suppressAutoHyphens/>
        <w:rPr>
          <w:b/>
          <w:bCs/>
        </w:rPr>
      </w:pPr>
      <w:r w:rsidRPr="00C40EA2">
        <w:rPr>
          <w:b/>
          <w:bCs/>
        </w:rPr>
        <w:t xml:space="preserve">“Dwelling” means a building [or conveyance] of any kind, </w:t>
      </w:r>
      <w:r w:rsidR="00F0593F" w:rsidRPr="00C40EA2">
        <w:rPr>
          <w:b/>
          <w:bCs/>
        </w:rPr>
        <w:t>either</w:t>
      </w:r>
      <w:r w:rsidRPr="00C40EA2">
        <w:rPr>
          <w:b/>
          <w:bCs/>
        </w:rPr>
        <w:t xml:space="preserve"> temporary or permanent, mobile or immobile, </w:t>
      </w:r>
      <w:r w:rsidR="00F0593F" w:rsidRPr="00C40EA2">
        <w:rPr>
          <w:b/>
          <w:bCs/>
        </w:rPr>
        <w:t>that</w:t>
      </w:r>
      <w:r w:rsidRPr="00C40EA2">
        <w:rPr>
          <w:b/>
          <w:bCs/>
        </w:rPr>
        <w:t xml:space="preserve"> has a roof over it and is designed to be occupied by people lodging therein at night, together with the enclosed space of ground and outbuildings immediately surrounding it. [The enclosure need not be continuous as it may have an ungated opening for entering and exiting.] </w:t>
      </w:r>
    </w:p>
    <w:p w14:paraId="7EE15212" w14:textId="1F56FC8F" w:rsidR="00435EBD" w:rsidRPr="00C40EA2" w:rsidRDefault="00C353B2" w:rsidP="003320FD">
      <w:pPr>
        <w:spacing w:after="280"/>
        <w:rPr>
          <w:b/>
          <w:bCs/>
        </w:rPr>
      </w:pPr>
      <w:r w:rsidRPr="00C40EA2">
        <w:rPr>
          <w:b/>
          <w:bCs/>
        </w:rPr>
        <w:t>“Conveyance” means any motor vehicle, ship, vessel, railroad car, trailer, aircraft, or sleeping car.</w:t>
      </w:r>
    </w:p>
    <w:p w14:paraId="36619C8B" w14:textId="77777777" w:rsidR="00381C8F" w:rsidRPr="00C40EA2" w:rsidRDefault="00381C8F" w:rsidP="00381C8F">
      <w:pPr>
        <w:spacing w:after="0"/>
        <w:rPr>
          <w:i/>
          <w:iCs/>
        </w:rPr>
      </w:pPr>
      <w:r w:rsidRPr="00C40EA2">
        <w:rPr>
          <w:i/>
          <w:iCs/>
        </w:rPr>
        <w:t xml:space="preserve">§ 787.001, Fla. Stat. Give only if applicable. </w:t>
      </w:r>
    </w:p>
    <w:p w14:paraId="59BF41AF" w14:textId="77777777" w:rsidR="00381C8F" w:rsidRPr="00C40EA2" w:rsidRDefault="00381C8F" w:rsidP="00381C8F">
      <w:pPr>
        <w:rPr>
          <w:b/>
          <w:bCs/>
        </w:rPr>
      </w:pPr>
      <w:r w:rsidRPr="00C40EA2">
        <w:rPr>
          <w:b/>
          <w:bCs/>
        </w:rPr>
        <w:t xml:space="preserve">The defendant’s ignorance of </w:t>
      </w:r>
      <w:r w:rsidRPr="002350FF">
        <w:t>(</w:t>
      </w:r>
      <w:r w:rsidRPr="00C40EA2">
        <w:t>victim’s)</w:t>
      </w:r>
      <w:r w:rsidRPr="00C40EA2">
        <w:rPr>
          <w:b/>
          <w:bCs/>
        </w:rPr>
        <w:t xml:space="preserve"> age is not a defense. Additionally, the misrepresentation of </w:t>
      </w:r>
      <w:r w:rsidRPr="00C40EA2">
        <w:t>(victim’s)</w:t>
      </w:r>
      <w:r w:rsidRPr="00C40EA2">
        <w:rPr>
          <w:b/>
          <w:bCs/>
        </w:rPr>
        <w:t xml:space="preserve"> age by any person or the defendant’s genuine belief that </w:t>
      </w:r>
      <w:r w:rsidRPr="00C40EA2">
        <w:t>(victim)</w:t>
      </w:r>
      <w:r w:rsidRPr="00C40EA2">
        <w:rPr>
          <w:b/>
          <w:bCs/>
        </w:rPr>
        <w:t xml:space="preserve"> was over a specified age is not a defense. </w:t>
      </w:r>
    </w:p>
    <w:p w14:paraId="1AB7B559" w14:textId="72A902E9" w:rsidR="004E3F81" w:rsidRPr="00C40EA2" w:rsidRDefault="004E3F81" w:rsidP="004E3F81">
      <w:pPr>
        <w:pStyle w:val="SJITextItalic"/>
      </w:pPr>
      <w:r w:rsidRPr="00C40EA2">
        <w:t xml:space="preserve">Give </w:t>
      </w:r>
      <w:r w:rsidR="005C5FE6" w:rsidRPr="00C40EA2">
        <w:t>as applicable i</w:t>
      </w:r>
      <w:r w:rsidRPr="00C40EA2">
        <w:t xml:space="preserve">f </w:t>
      </w:r>
      <w:r w:rsidR="00E5421F" w:rsidRPr="00C40EA2">
        <w:t>the defendant me</w:t>
      </w:r>
      <w:r w:rsidR="005C5FE6" w:rsidRPr="00C40EA2">
        <w:t>t</w:t>
      </w:r>
      <w:r w:rsidR="00E5421F" w:rsidRPr="00C40EA2">
        <w:t xml:space="preserve"> his or her burden of production</w:t>
      </w:r>
      <w:r w:rsidR="00172B65" w:rsidRPr="00C40EA2">
        <w:t xml:space="preserve"> on </w:t>
      </w:r>
      <w:r w:rsidR="005C5FE6" w:rsidRPr="00C40EA2">
        <w:t>the</w:t>
      </w:r>
      <w:r w:rsidR="00172B65" w:rsidRPr="00C40EA2">
        <w:t xml:space="preserve"> affirmative defense</w:t>
      </w:r>
      <w:r w:rsidR="00A72F57" w:rsidRPr="00C40EA2">
        <w:t xml:space="preserve">. </w:t>
      </w:r>
      <w:r w:rsidR="00594FAB" w:rsidRPr="00C40EA2">
        <w:t xml:space="preserve">Neither </w:t>
      </w:r>
      <w:r w:rsidR="00CE5A62" w:rsidRPr="00C40EA2">
        <w:rPr>
          <w:bCs/>
        </w:rPr>
        <w:t>§ 787.025</w:t>
      </w:r>
      <w:r w:rsidR="003F282F" w:rsidRPr="00C40EA2">
        <w:rPr>
          <w:bCs/>
        </w:rPr>
        <w:t>,</w:t>
      </w:r>
      <w:r w:rsidR="00CE5A62" w:rsidRPr="00C40EA2">
        <w:rPr>
          <w:bCs/>
        </w:rPr>
        <w:t xml:space="preserve"> Fla. Stat., </w:t>
      </w:r>
      <w:r w:rsidR="00594FAB" w:rsidRPr="00C40EA2">
        <w:rPr>
          <w:bCs/>
        </w:rPr>
        <w:t>nor</w:t>
      </w:r>
      <w:r w:rsidR="00CE5A62" w:rsidRPr="00C40EA2">
        <w:rPr>
          <w:bCs/>
        </w:rPr>
        <w:t xml:space="preserve"> case law</w:t>
      </w:r>
      <w:r w:rsidR="008A5E84" w:rsidRPr="00C40EA2">
        <w:rPr>
          <w:bCs/>
        </w:rPr>
        <w:t>,</w:t>
      </w:r>
      <w:r w:rsidR="00CE5A62" w:rsidRPr="00C40EA2">
        <w:rPr>
          <w:bCs/>
        </w:rPr>
        <w:t xml:space="preserve"> </w:t>
      </w:r>
      <w:r w:rsidR="00594FAB" w:rsidRPr="00C40EA2">
        <w:rPr>
          <w:bCs/>
        </w:rPr>
        <w:t xml:space="preserve">as of </w:t>
      </w:r>
      <w:r w:rsidR="00E83A6A" w:rsidRPr="00C40EA2">
        <w:rPr>
          <w:bCs/>
        </w:rPr>
        <w:t>February 2026</w:t>
      </w:r>
      <w:r w:rsidR="008A5E84" w:rsidRPr="00C40EA2">
        <w:rPr>
          <w:bCs/>
        </w:rPr>
        <w:t>,</w:t>
      </w:r>
      <w:r w:rsidR="00594FAB" w:rsidRPr="00C40EA2">
        <w:rPr>
          <w:bCs/>
        </w:rPr>
        <w:t xml:space="preserve"> </w:t>
      </w:r>
      <w:proofErr w:type="gramStart"/>
      <w:r w:rsidR="00594FAB" w:rsidRPr="00C40EA2">
        <w:rPr>
          <w:bCs/>
        </w:rPr>
        <w:t>explain</w:t>
      </w:r>
      <w:proofErr w:type="gramEnd"/>
      <w:r w:rsidR="00594FAB" w:rsidRPr="00C40EA2">
        <w:rPr>
          <w:bCs/>
        </w:rPr>
        <w:t xml:space="preserve"> </w:t>
      </w:r>
      <w:r w:rsidR="00CE5A62" w:rsidRPr="00C40EA2">
        <w:rPr>
          <w:bCs/>
        </w:rPr>
        <w:t xml:space="preserve">(1) which party bears the burden of persuasion of the affirmative defense and (2) the standard for the burden of persuasion. Under the common law, defendants had the burden of persuasion on affirmative defenses by a preponderance of the evidence. In the absence of case law, trial judges must resolve the issue via a special instruction.  </w:t>
      </w:r>
    </w:p>
    <w:p w14:paraId="4E72F7CB" w14:textId="59EED46E" w:rsidR="004E3F81" w:rsidRPr="00C40EA2" w:rsidRDefault="0086135D" w:rsidP="004E3F81">
      <w:pPr>
        <w:spacing w:after="280"/>
        <w:rPr>
          <w:b/>
          <w:bCs/>
        </w:rPr>
      </w:pPr>
      <w:r w:rsidRPr="00C40EA2">
        <w:rPr>
          <w:b/>
          <w:bCs/>
        </w:rPr>
        <w:t xml:space="preserve">It is </w:t>
      </w:r>
      <w:r w:rsidR="00172B65" w:rsidRPr="00C40EA2">
        <w:rPr>
          <w:b/>
          <w:bCs/>
        </w:rPr>
        <w:t xml:space="preserve">a </w:t>
      </w:r>
      <w:r w:rsidRPr="00C40EA2">
        <w:rPr>
          <w:b/>
          <w:bCs/>
        </w:rPr>
        <w:t>defense</w:t>
      </w:r>
      <w:r w:rsidR="00A72F57" w:rsidRPr="00C40EA2">
        <w:rPr>
          <w:b/>
          <w:bCs/>
        </w:rPr>
        <w:t xml:space="preserve"> to the crime of </w:t>
      </w:r>
      <w:r w:rsidR="0027678C" w:rsidRPr="00C40EA2">
        <w:rPr>
          <w:b/>
          <w:bCs/>
        </w:rPr>
        <w:t xml:space="preserve">[Attempted] </w:t>
      </w:r>
      <w:r w:rsidR="00A72F57" w:rsidRPr="00C40EA2">
        <w:rPr>
          <w:b/>
          <w:bCs/>
        </w:rPr>
        <w:t>Luring or Enticing a Child if:</w:t>
      </w:r>
    </w:p>
    <w:p w14:paraId="36DD23B5" w14:textId="083D0CC4" w:rsidR="0086135D" w:rsidRPr="00C40EA2" w:rsidRDefault="0086135D" w:rsidP="00C827DD">
      <w:pPr>
        <w:pStyle w:val="ListParagraph"/>
        <w:numPr>
          <w:ilvl w:val="0"/>
          <w:numId w:val="13"/>
        </w:numPr>
        <w:spacing w:after="280"/>
        <w:ind w:left="1152" w:hanging="432"/>
        <w:rPr>
          <w:b/>
          <w:bCs/>
        </w:rPr>
      </w:pPr>
      <w:r w:rsidRPr="00C40EA2">
        <w:rPr>
          <w:b/>
          <w:bCs/>
        </w:rPr>
        <w:t xml:space="preserve">The </w:t>
      </w:r>
      <w:r w:rsidR="00A72F57" w:rsidRPr="00C40EA2">
        <w:rPr>
          <w:b/>
          <w:bCs/>
        </w:rPr>
        <w:t>defendant</w:t>
      </w:r>
      <w:r w:rsidRPr="00C40EA2">
        <w:rPr>
          <w:b/>
          <w:bCs/>
        </w:rPr>
        <w:t xml:space="preserve"> reasonably believed that </w:t>
      </w:r>
      <w:r w:rsidR="005C5FE6" w:rsidRPr="00C40EA2">
        <w:rPr>
          <w:b/>
          <w:bCs/>
        </w:rPr>
        <w:t>[</w:t>
      </w:r>
      <w:r w:rsidRPr="00C40EA2">
        <w:rPr>
          <w:b/>
          <w:bCs/>
        </w:rPr>
        <w:t>his</w:t>
      </w:r>
      <w:r w:rsidR="005C5FE6" w:rsidRPr="00C40EA2">
        <w:rPr>
          <w:b/>
          <w:bCs/>
        </w:rPr>
        <w:t>] [</w:t>
      </w:r>
      <w:r w:rsidRPr="00C40EA2">
        <w:rPr>
          <w:b/>
          <w:bCs/>
        </w:rPr>
        <w:t>her</w:t>
      </w:r>
      <w:r w:rsidR="005C5FE6" w:rsidRPr="00C40EA2">
        <w:rPr>
          <w:b/>
          <w:bCs/>
        </w:rPr>
        <w:t>]</w:t>
      </w:r>
      <w:r w:rsidRPr="00C40EA2">
        <w:rPr>
          <w:b/>
          <w:bCs/>
        </w:rPr>
        <w:t xml:space="preserve"> action was necessary to prevent </w:t>
      </w:r>
      <w:r w:rsidR="0027678C" w:rsidRPr="00C40EA2">
        <w:t xml:space="preserve">(victim) </w:t>
      </w:r>
      <w:r w:rsidRPr="00C40EA2">
        <w:rPr>
          <w:b/>
          <w:bCs/>
        </w:rPr>
        <w:t>from being seriously injured.</w:t>
      </w:r>
    </w:p>
    <w:p w14:paraId="4EB82C65" w14:textId="0271E9F3" w:rsidR="0086135D" w:rsidRPr="00C40EA2" w:rsidRDefault="0086135D" w:rsidP="00C827DD">
      <w:pPr>
        <w:pStyle w:val="ListParagraph"/>
        <w:numPr>
          <w:ilvl w:val="0"/>
          <w:numId w:val="13"/>
        </w:numPr>
        <w:spacing w:after="280"/>
        <w:ind w:left="1152" w:hanging="432"/>
        <w:rPr>
          <w:b/>
          <w:bCs/>
        </w:rPr>
      </w:pPr>
      <w:r w:rsidRPr="00C40EA2">
        <w:rPr>
          <w:b/>
          <w:bCs/>
        </w:rPr>
        <w:lastRenderedPageBreak/>
        <w:t xml:space="preserve">The </w:t>
      </w:r>
      <w:r w:rsidR="005C5FE6" w:rsidRPr="00C40EA2">
        <w:rPr>
          <w:b/>
          <w:bCs/>
        </w:rPr>
        <w:t>defendant’s</w:t>
      </w:r>
      <w:r w:rsidRPr="00C40EA2">
        <w:rPr>
          <w:b/>
          <w:bCs/>
        </w:rPr>
        <w:t xml:space="preserve"> actions were reasonable under the circumstances and the defendant did not have any intent to harm the health, safety, or welfare of </w:t>
      </w:r>
      <w:r w:rsidR="0027678C" w:rsidRPr="00C40EA2">
        <w:t>(victim)</w:t>
      </w:r>
      <w:r w:rsidRPr="00C40EA2">
        <w:rPr>
          <w:b/>
          <w:bCs/>
        </w:rPr>
        <w:t>.</w:t>
      </w:r>
    </w:p>
    <w:p w14:paraId="119A485C" w14:textId="77777777" w:rsidR="003320FD" w:rsidRPr="00C40EA2" w:rsidRDefault="003320FD" w:rsidP="003320FD">
      <w:pPr>
        <w:pStyle w:val="SJIComments"/>
      </w:pPr>
      <w:r w:rsidRPr="00C40EA2">
        <w:t>Lesser Included Offenses</w:t>
      </w:r>
    </w:p>
    <w:p w14:paraId="2E7DF45C" w14:textId="55CDA7CB" w:rsidR="00E5421F" w:rsidRPr="00C40EA2" w:rsidRDefault="00E5421F" w:rsidP="00E5421F">
      <w:pPr>
        <w:pStyle w:val="SJIComments"/>
        <w:ind w:firstLine="720"/>
        <w:jc w:val="left"/>
        <w:rPr>
          <w:b w:val="0"/>
          <w:bCs/>
        </w:rPr>
      </w:pPr>
      <w:r w:rsidRPr="00C40EA2">
        <w:rPr>
          <w:b w:val="0"/>
          <w:bCs/>
        </w:rPr>
        <w:t>The Committee on Standard Instructions in Criminal Cases identified no lesser included offense</w:t>
      </w:r>
      <w:r w:rsidR="00E83A6A" w:rsidRPr="00C40EA2">
        <w:rPr>
          <w:b w:val="0"/>
          <w:bCs/>
        </w:rPr>
        <w:t>s</w:t>
      </w:r>
      <w:r w:rsidRPr="00C40EA2">
        <w:rPr>
          <w:b w:val="0"/>
          <w:bCs/>
        </w:rPr>
        <w:t xml:space="preserve">. </w:t>
      </w:r>
    </w:p>
    <w:p w14:paraId="64BE6019" w14:textId="4D7C2400" w:rsidR="003320FD" w:rsidRPr="00C40EA2" w:rsidRDefault="003320FD" w:rsidP="00C827DD">
      <w:pPr>
        <w:pStyle w:val="SJIComments"/>
      </w:pPr>
      <w:r w:rsidRPr="00C827DD">
        <w:t>Comments</w:t>
      </w:r>
    </w:p>
    <w:p w14:paraId="64449E11" w14:textId="476B06D4" w:rsidR="0096289F" w:rsidRPr="00C40EA2" w:rsidRDefault="0096289F" w:rsidP="001852CE">
      <w:pPr>
        <w:pStyle w:val="SJIComments"/>
        <w:ind w:firstLine="720"/>
        <w:jc w:val="left"/>
        <w:rPr>
          <w:b w:val="0"/>
          <w:bCs/>
        </w:rPr>
      </w:pPr>
      <w:r w:rsidRPr="00C40EA2">
        <w:rPr>
          <w:b w:val="0"/>
          <w:bCs/>
        </w:rPr>
        <w:t xml:space="preserve">Before October 1, 2025, § 787.025, </w:t>
      </w:r>
      <w:r w:rsidR="0027678C" w:rsidRPr="00C40EA2">
        <w:rPr>
          <w:b w:val="0"/>
          <w:bCs/>
        </w:rPr>
        <w:t xml:space="preserve">Fla. Stat., required the state to prove the child was under the age of 12. The Legislature changed the victim’s age requirement to under 14 years of age in Chapter 2025-132, Laws of Florida. </w:t>
      </w:r>
    </w:p>
    <w:p w14:paraId="424B5428" w14:textId="4F70FF29" w:rsidR="0096289F" w:rsidRPr="00C40EA2" w:rsidRDefault="0096289F" w:rsidP="001852CE">
      <w:pPr>
        <w:pStyle w:val="SJIComments"/>
        <w:ind w:firstLine="720"/>
        <w:jc w:val="left"/>
        <w:rPr>
          <w:b w:val="0"/>
          <w:bCs/>
        </w:rPr>
      </w:pPr>
      <w:r w:rsidRPr="00C40EA2">
        <w:rPr>
          <w:b w:val="0"/>
          <w:bCs/>
        </w:rPr>
        <w:t xml:space="preserve">§ 787.025(2), Fla. Stat., is written in a way that makes it an element of the crime that the defendant’s act was done for a purpose other than a lawful purpose. However, § 787.025(3)(b), Fla. Stat., states that it is an affirmative defense if the defendant’s act was done for a lawful purpose. As of </w:t>
      </w:r>
      <w:r w:rsidR="00E83A6A" w:rsidRPr="00C40EA2">
        <w:rPr>
          <w:b w:val="0"/>
          <w:bCs/>
        </w:rPr>
        <w:t>February 2026</w:t>
      </w:r>
      <w:r w:rsidRPr="00C40EA2">
        <w:rPr>
          <w:b w:val="0"/>
          <w:bCs/>
        </w:rPr>
        <w:t xml:space="preserve">, there was no case law that explained whether the defendant’s mental state </w:t>
      </w:r>
      <w:r w:rsidR="0027678C" w:rsidRPr="00C40EA2">
        <w:rPr>
          <w:b w:val="0"/>
          <w:bCs/>
        </w:rPr>
        <w:t>is</w:t>
      </w:r>
      <w:r w:rsidRPr="00C40EA2">
        <w:rPr>
          <w:b w:val="0"/>
          <w:bCs/>
        </w:rPr>
        <w:t xml:space="preserve"> an element or an affirmative defense. In an abundance of caution, the Committee on Standard Jury Instructions </w:t>
      </w:r>
      <w:r w:rsidR="00E83A6A" w:rsidRPr="00C40EA2">
        <w:rPr>
          <w:b w:val="0"/>
          <w:bCs/>
        </w:rPr>
        <w:t xml:space="preserve">in Criminal Cases </w:t>
      </w:r>
      <w:r w:rsidRPr="00C40EA2">
        <w:rPr>
          <w:b w:val="0"/>
          <w:bCs/>
        </w:rPr>
        <w:t xml:space="preserve">made the defendant’s mental state an element. </w:t>
      </w:r>
    </w:p>
    <w:p w14:paraId="655E0F97" w14:textId="1F7931EB" w:rsidR="007853BA" w:rsidRPr="00C40EA2" w:rsidRDefault="007853BA" w:rsidP="00763148">
      <w:pPr>
        <w:pStyle w:val="SJIComments"/>
        <w:ind w:firstLine="720"/>
        <w:jc w:val="left"/>
        <w:rPr>
          <w:b w:val="0"/>
          <w:bCs/>
        </w:rPr>
      </w:pPr>
      <w:r w:rsidRPr="00C40EA2">
        <w:rPr>
          <w:b w:val="0"/>
          <w:bCs/>
        </w:rPr>
        <w:t xml:space="preserve">A person who </w:t>
      </w:r>
      <w:bookmarkStart w:id="2" w:name="_Hlk205385657"/>
      <w:r w:rsidR="001852CE" w:rsidRPr="00C40EA2">
        <w:rPr>
          <w:b w:val="0"/>
          <w:bCs/>
        </w:rPr>
        <w:t xml:space="preserve">violates </w:t>
      </w:r>
      <w:bookmarkStart w:id="3" w:name="_Hlk205386779"/>
      <w:r w:rsidR="001852CE" w:rsidRPr="00C40EA2">
        <w:rPr>
          <w:b w:val="0"/>
          <w:bCs/>
        </w:rPr>
        <w:t xml:space="preserve">§ 787.025, Fla. Stat., </w:t>
      </w:r>
      <w:bookmarkEnd w:id="3"/>
      <w:r w:rsidR="001852CE" w:rsidRPr="00C40EA2">
        <w:rPr>
          <w:b w:val="0"/>
          <w:bCs/>
        </w:rPr>
        <w:t xml:space="preserve">and who </w:t>
      </w:r>
      <w:r w:rsidRPr="00C40EA2">
        <w:rPr>
          <w:b w:val="0"/>
          <w:bCs/>
        </w:rPr>
        <w:t xml:space="preserve">was previously convicted of </w:t>
      </w:r>
      <w:bookmarkStart w:id="4" w:name="_Hlk205385324"/>
      <w:bookmarkEnd w:id="2"/>
      <w:r w:rsidRPr="00C40EA2">
        <w:rPr>
          <w:b w:val="0"/>
          <w:bCs/>
        </w:rPr>
        <w:t>§ 787.025, Fla. Stat.</w:t>
      </w:r>
      <w:r w:rsidR="00172B65" w:rsidRPr="00C40EA2">
        <w:rPr>
          <w:b w:val="0"/>
          <w:bCs/>
        </w:rPr>
        <w:t xml:space="preserve">, or </w:t>
      </w:r>
      <w:r w:rsidR="00A72F57" w:rsidRPr="00C40EA2">
        <w:rPr>
          <w:b w:val="0"/>
          <w:bCs/>
        </w:rPr>
        <w:t>of</w:t>
      </w:r>
      <w:bookmarkEnd w:id="4"/>
      <w:r w:rsidR="001852CE" w:rsidRPr="00C40EA2">
        <w:rPr>
          <w:b w:val="0"/>
          <w:bCs/>
        </w:rPr>
        <w:t xml:space="preserve"> a violation of chapter 794, § 800.04, Fla. Stat., </w:t>
      </w:r>
      <w:r w:rsidR="002350FF">
        <w:rPr>
          <w:b w:val="0"/>
          <w:bCs/>
        </w:rPr>
        <w:br/>
      </w:r>
      <w:r w:rsidR="001852CE" w:rsidRPr="00C40EA2">
        <w:rPr>
          <w:b w:val="0"/>
          <w:bCs/>
        </w:rPr>
        <w:t xml:space="preserve">§ 847.0135(5), Fla. Stat., or a similar law of another jurisdiction, commits a </w:t>
      </w:r>
      <w:proofErr w:type="gramStart"/>
      <w:r w:rsidR="001852CE" w:rsidRPr="00C40EA2">
        <w:rPr>
          <w:b w:val="0"/>
          <w:bCs/>
        </w:rPr>
        <w:t>second degree</w:t>
      </w:r>
      <w:proofErr w:type="gramEnd"/>
      <w:r w:rsidR="001852CE" w:rsidRPr="00C40EA2">
        <w:rPr>
          <w:b w:val="0"/>
          <w:bCs/>
        </w:rPr>
        <w:t xml:space="preserve"> felony. </w:t>
      </w:r>
      <w:r w:rsidR="00172B65" w:rsidRPr="00C40EA2">
        <w:rPr>
          <w:b w:val="0"/>
          <w:bCs/>
        </w:rPr>
        <w:t xml:space="preserve">For purpose of § 787.025, Fla. Stat., a conviction does not require an adjudication of guilt. </w:t>
      </w:r>
      <w:r w:rsidRPr="00C40EA2">
        <w:rPr>
          <w:b w:val="0"/>
          <w:bCs/>
        </w:rPr>
        <w:t xml:space="preserve">As of </w:t>
      </w:r>
      <w:r w:rsidR="00E83A6A" w:rsidRPr="00C40EA2">
        <w:rPr>
          <w:b w:val="0"/>
          <w:bCs/>
        </w:rPr>
        <w:t>February</w:t>
      </w:r>
      <w:r w:rsidR="00763148" w:rsidRPr="00C40EA2">
        <w:rPr>
          <w:b w:val="0"/>
          <w:bCs/>
        </w:rPr>
        <w:t xml:space="preserve"> 2026</w:t>
      </w:r>
      <w:r w:rsidRPr="00C40EA2">
        <w:rPr>
          <w:b w:val="0"/>
          <w:bCs/>
        </w:rPr>
        <w:t xml:space="preserve">, it was undetermined whether the fact of </w:t>
      </w:r>
      <w:r w:rsidR="001852CE" w:rsidRPr="00C40EA2">
        <w:rPr>
          <w:b w:val="0"/>
          <w:bCs/>
        </w:rPr>
        <w:t>the</w:t>
      </w:r>
      <w:r w:rsidRPr="00C40EA2">
        <w:rPr>
          <w:b w:val="0"/>
          <w:bCs/>
        </w:rPr>
        <w:t xml:space="preserve"> prior conviction is a recidivism factor that can be proven to the judge at sentencing or whether it is an element of the crime that must be proven to the jury under the beyond </w:t>
      </w:r>
      <w:proofErr w:type="gramStart"/>
      <w:r w:rsidRPr="00C40EA2">
        <w:rPr>
          <w:b w:val="0"/>
          <w:bCs/>
        </w:rPr>
        <w:t>a reasonable</w:t>
      </w:r>
      <w:proofErr w:type="gramEnd"/>
      <w:r w:rsidRPr="00C40EA2">
        <w:rPr>
          <w:b w:val="0"/>
          <w:bCs/>
        </w:rPr>
        <w:t xml:space="preserve"> doubt standard. </w:t>
      </w:r>
      <w:r w:rsidR="001852CE" w:rsidRPr="00C40EA2">
        <w:rPr>
          <w:b w:val="0"/>
          <w:bCs/>
        </w:rPr>
        <w:t>Generally, a jury should not be informed of a prior conviction before the verdict</w:t>
      </w:r>
      <w:r w:rsidR="00A72F57" w:rsidRPr="00C40EA2">
        <w:rPr>
          <w:b w:val="0"/>
          <w:bCs/>
        </w:rPr>
        <w:t>. If</w:t>
      </w:r>
      <w:r w:rsidR="001852CE" w:rsidRPr="00C40EA2">
        <w:rPr>
          <w:b w:val="0"/>
          <w:bCs/>
        </w:rPr>
        <w:t xml:space="preserve"> treated as an element, the existence of the prior conviction should be determined in a bifurcated proceeding. </w:t>
      </w:r>
    </w:p>
    <w:p w14:paraId="50A85A53" w14:textId="03DA91C0" w:rsidR="009435D1" w:rsidRPr="00C40EA2" w:rsidRDefault="003320FD" w:rsidP="003320FD">
      <w:pPr>
        <w:spacing w:after="280"/>
        <w:rPr>
          <w:bCs/>
        </w:rPr>
      </w:pPr>
      <w:r w:rsidRPr="00C40EA2">
        <w:rPr>
          <w:bCs/>
        </w:rPr>
        <w:t xml:space="preserve">This instruction was adopted </w:t>
      </w:r>
      <w:r w:rsidR="00E5421F" w:rsidRPr="00C40EA2">
        <w:rPr>
          <w:bCs/>
        </w:rPr>
        <w:t xml:space="preserve">on </w:t>
      </w:r>
      <w:r w:rsidR="00E83A6A" w:rsidRPr="00C40EA2">
        <w:rPr>
          <w:bCs/>
        </w:rPr>
        <w:t>March 20,</w:t>
      </w:r>
      <w:r w:rsidR="00E5421F" w:rsidRPr="00C40EA2">
        <w:rPr>
          <w:bCs/>
        </w:rPr>
        <w:t xml:space="preserve"> 202</w:t>
      </w:r>
      <w:r w:rsidR="009E7B3C" w:rsidRPr="00C40EA2">
        <w:rPr>
          <w:bCs/>
        </w:rPr>
        <w:t>6</w:t>
      </w:r>
      <w:r w:rsidR="00E5421F" w:rsidRPr="00C40EA2">
        <w:rPr>
          <w:bCs/>
        </w:rPr>
        <w:t>.</w:t>
      </w:r>
      <w:r w:rsidR="00C353B2" w:rsidRPr="00C40EA2">
        <w:rPr>
          <w:bCs/>
        </w:rPr>
        <w:t xml:space="preserve"> </w:t>
      </w:r>
    </w:p>
    <w:sectPr w:rsidR="009435D1" w:rsidRPr="00C40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25CA"/>
    <w:multiLevelType w:val="hybridMultilevel"/>
    <w:tmpl w:val="59428A58"/>
    <w:lvl w:ilvl="0" w:tplc="8A5A3F06">
      <w:start w:val="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61D99"/>
    <w:multiLevelType w:val="hybridMultilevel"/>
    <w:tmpl w:val="4E5A4682"/>
    <w:lvl w:ilvl="0" w:tplc="C5B6639A">
      <w:start w:val="1"/>
      <w:numFmt w:val="decimal"/>
      <w:pStyle w:val="SJINumberedParagraph"/>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A0E5131"/>
    <w:multiLevelType w:val="hybridMultilevel"/>
    <w:tmpl w:val="810C35B0"/>
    <w:lvl w:ilvl="0" w:tplc="2338A4F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5B68B0"/>
    <w:multiLevelType w:val="hybridMultilevel"/>
    <w:tmpl w:val="A66AB98E"/>
    <w:lvl w:ilvl="0" w:tplc="EC8656E8">
      <w:start w:val="1"/>
      <w:numFmt w:val="decimal"/>
      <w:lvlText w:val="%1."/>
      <w:lvlJc w:val="left"/>
      <w:pPr>
        <w:ind w:left="6480" w:hanging="360"/>
      </w:pPr>
      <w:rPr>
        <w:rFonts w:ascii="Bookman Old Style" w:hAnsi="Bookman Old Style" w:cs="Times New Roman" w:hint="default"/>
        <w:b/>
        <w:bCs/>
        <w:sz w:val="22"/>
        <w:szCs w:val="22"/>
        <w:u w:val="none"/>
      </w:rPr>
    </w:lvl>
    <w:lvl w:ilvl="1" w:tplc="04090019">
      <w:start w:val="1"/>
      <w:numFmt w:val="lowerLetter"/>
      <w:lvlText w:val="%2."/>
      <w:lvlJc w:val="left"/>
      <w:pPr>
        <w:ind w:left="7200" w:hanging="360"/>
      </w:pPr>
      <w:rPr>
        <w:rFonts w:cs="Times New Roman"/>
      </w:rPr>
    </w:lvl>
    <w:lvl w:ilvl="2" w:tplc="0409001B" w:tentative="1">
      <w:start w:val="1"/>
      <w:numFmt w:val="lowerRoman"/>
      <w:lvlText w:val="%3."/>
      <w:lvlJc w:val="right"/>
      <w:pPr>
        <w:ind w:left="7920" w:hanging="180"/>
      </w:pPr>
      <w:rPr>
        <w:rFonts w:cs="Times New Roman"/>
      </w:rPr>
    </w:lvl>
    <w:lvl w:ilvl="3" w:tplc="0409000F" w:tentative="1">
      <w:start w:val="1"/>
      <w:numFmt w:val="decimal"/>
      <w:lvlText w:val="%4."/>
      <w:lvlJc w:val="left"/>
      <w:pPr>
        <w:ind w:left="8640" w:hanging="360"/>
      </w:pPr>
      <w:rPr>
        <w:rFonts w:cs="Times New Roman"/>
      </w:rPr>
    </w:lvl>
    <w:lvl w:ilvl="4" w:tplc="04090019" w:tentative="1">
      <w:start w:val="1"/>
      <w:numFmt w:val="lowerLetter"/>
      <w:lvlText w:val="%5."/>
      <w:lvlJc w:val="left"/>
      <w:pPr>
        <w:ind w:left="9360" w:hanging="360"/>
      </w:pPr>
      <w:rPr>
        <w:rFonts w:cs="Times New Roman"/>
      </w:rPr>
    </w:lvl>
    <w:lvl w:ilvl="5" w:tplc="0409001B" w:tentative="1">
      <w:start w:val="1"/>
      <w:numFmt w:val="lowerRoman"/>
      <w:lvlText w:val="%6."/>
      <w:lvlJc w:val="right"/>
      <w:pPr>
        <w:ind w:left="10080" w:hanging="180"/>
      </w:pPr>
      <w:rPr>
        <w:rFonts w:cs="Times New Roman"/>
      </w:rPr>
    </w:lvl>
    <w:lvl w:ilvl="6" w:tplc="0409000F" w:tentative="1">
      <w:start w:val="1"/>
      <w:numFmt w:val="decimal"/>
      <w:lvlText w:val="%7."/>
      <w:lvlJc w:val="left"/>
      <w:pPr>
        <w:ind w:left="10800" w:hanging="360"/>
      </w:pPr>
      <w:rPr>
        <w:rFonts w:cs="Times New Roman"/>
      </w:rPr>
    </w:lvl>
    <w:lvl w:ilvl="7" w:tplc="04090019" w:tentative="1">
      <w:start w:val="1"/>
      <w:numFmt w:val="lowerLetter"/>
      <w:lvlText w:val="%8."/>
      <w:lvlJc w:val="left"/>
      <w:pPr>
        <w:ind w:left="11520" w:hanging="360"/>
      </w:pPr>
      <w:rPr>
        <w:rFonts w:cs="Times New Roman"/>
      </w:rPr>
    </w:lvl>
    <w:lvl w:ilvl="8" w:tplc="0409001B" w:tentative="1">
      <w:start w:val="1"/>
      <w:numFmt w:val="lowerRoman"/>
      <w:lvlText w:val="%9."/>
      <w:lvlJc w:val="right"/>
      <w:pPr>
        <w:ind w:left="12240" w:hanging="180"/>
      </w:pPr>
      <w:rPr>
        <w:rFonts w:cs="Times New Roman"/>
      </w:rPr>
    </w:lvl>
  </w:abstractNum>
  <w:abstractNum w:abstractNumId="7"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7AA263D"/>
    <w:multiLevelType w:val="hybridMultilevel"/>
    <w:tmpl w:val="2ADC899E"/>
    <w:lvl w:ilvl="0" w:tplc="1F7668C8">
      <w:start w:val="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53365"/>
    <w:multiLevelType w:val="hybridMultilevel"/>
    <w:tmpl w:val="2C3A35B4"/>
    <w:lvl w:ilvl="0" w:tplc="A9F6CB62">
      <w:start w:val="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960531767">
    <w:abstractNumId w:val="7"/>
  </w:num>
  <w:num w:numId="2" w16cid:durableId="767893780">
    <w:abstractNumId w:val="6"/>
  </w:num>
  <w:num w:numId="3" w16cid:durableId="1829859725">
    <w:abstractNumId w:val="10"/>
  </w:num>
  <w:num w:numId="4" w16cid:durableId="1268926141">
    <w:abstractNumId w:val="3"/>
  </w:num>
  <w:num w:numId="5" w16cid:durableId="580720444">
    <w:abstractNumId w:val="2"/>
  </w:num>
  <w:num w:numId="6" w16cid:durableId="533032309">
    <w:abstractNumId w:val="4"/>
  </w:num>
  <w:num w:numId="7" w16cid:durableId="535854641">
    <w:abstractNumId w:val="1"/>
  </w:num>
  <w:num w:numId="8" w16cid:durableId="1814103040">
    <w:abstractNumId w:val="1"/>
  </w:num>
  <w:num w:numId="9" w16cid:durableId="704598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4793841">
    <w:abstractNumId w:val="0"/>
  </w:num>
  <w:num w:numId="11" w16cid:durableId="1359351672">
    <w:abstractNumId w:val="8"/>
  </w:num>
  <w:num w:numId="12" w16cid:durableId="1064337194">
    <w:abstractNumId w:val="9"/>
  </w:num>
  <w:num w:numId="13" w16cid:durableId="335115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FD"/>
    <w:rsid w:val="00011026"/>
    <w:rsid w:val="00077B57"/>
    <w:rsid w:val="000E642B"/>
    <w:rsid w:val="00131FE5"/>
    <w:rsid w:val="00172B65"/>
    <w:rsid w:val="001852CE"/>
    <w:rsid w:val="001B48E1"/>
    <w:rsid w:val="001E5BD2"/>
    <w:rsid w:val="00217126"/>
    <w:rsid w:val="00217727"/>
    <w:rsid w:val="002350FF"/>
    <w:rsid w:val="002424F6"/>
    <w:rsid w:val="002429E4"/>
    <w:rsid w:val="00276059"/>
    <w:rsid w:val="0027678C"/>
    <w:rsid w:val="003128D0"/>
    <w:rsid w:val="003320FD"/>
    <w:rsid w:val="00351E36"/>
    <w:rsid w:val="00381C8F"/>
    <w:rsid w:val="003E05DE"/>
    <w:rsid w:val="003E4F7A"/>
    <w:rsid w:val="003F282F"/>
    <w:rsid w:val="00430B7B"/>
    <w:rsid w:val="00435EBD"/>
    <w:rsid w:val="00456377"/>
    <w:rsid w:val="004E3F81"/>
    <w:rsid w:val="00520B6F"/>
    <w:rsid w:val="005230AE"/>
    <w:rsid w:val="00594FAB"/>
    <w:rsid w:val="005C5FE6"/>
    <w:rsid w:val="006328EB"/>
    <w:rsid w:val="006A5CDE"/>
    <w:rsid w:val="00763148"/>
    <w:rsid w:val="007853BA"/>
    <w:rsid w:val="007D1EBA"/>
    <w:rsid w:val="00801201"/>
    <w:rsid w:val="00817B18"/>
    <w:rsid w:val="00847EC2"/>
    <w:rsid w:val="0086135D"/>
    <w:rsid w:val="008A5E84"/>
    <w:rsid w:val="009435D1"/>
    <w:rsid w:val="0096289F"/>
    <w:rsid w:val="0096429C"/>
    <w:rsid w:val="00987418"/>
    <w:rsid w:val="009E7B3C"/>
    <w:rsid w:val="00A72F57"/>
    <w:rsid w:val="00A825AC"/>
    <w:rsid w:val="00B20FFD"/>
    <w:rsid w:val="00B65C13"/>
    <w:rsid w:val="00BC0592"/>
    <w:rsid w:val="00BC58C8"/>
    <w:rsid w:val="00C25548"/>
    <w:rsid w:val="00C353B2"/>
    <w:rsid w:val="00C358B8"/>
    <w:rsid w:val="00C40EA2"/>
    <w:rsid w:val="00C803A9"/>
    <w:rsid w:val="00C827DD"/>
    <w:rsid w:val="00C870AA"/>
    <w:rsid w:val="00C95D82"/>
    <w:rsid w:val="00CA6EB5"/>
    <w:rsid w:val="00CE5A62"/>
    <w:rsid w:val="00D23063"/>
    <w:rsid w:val="00D270A8"/>
    <w:rsid w:val="00D93412"/>
    <w:rsid w:val="00DA5B2C"/>
    <w:rsid w:val="00E5421F"/>
    <w:rsid w:val="00E77796"/>
    <w:rsid w:val="00E83A6A"/>
    <w:rsid w:val="00F0593F"/>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2524B"/>
  <w14:defaultImageDpi w14:val="0"/>
  <w15:docId w15:val="{0B63EFD2-8F4F-4067-80DB-483BE2F9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FD"/>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320FD"/>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3320FD"/>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320FD"/>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320FD"/>
    <w:pPr>
      <w:outlineLvl w:val="3"/>
    </w:pPr>
  </w:style>
  <w:style w:type="paragraph" w:styleId="Heading5">
    <w:name w:val="heading 5"/>
    <w:basedOn w:val="Normal"/>
    <w:next w:val="Normal"/>
    <w:link w:val="Heading5Char"/>
    <w:uiPriority w:val="9"/>
    <w:qFormat/>
    <w:rsid w:val="003320FD"/>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320FD"/>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320FD"/>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320FD"/>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320FD"/>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20FD"/>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320FD"/>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320FD"/>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320FD"/>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320FD"/>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320FD"/>
    <w:rPr>
      <w:rFonts w:ascii="Times New Roman" w:hAnsi="Times New Roman" w:cs="Times New Roman"/>
      <w:b/>
      <w:bCs/>
    </w:rPr>
  </w:style>
  <w:style w:type="character" w:customStyle="1" w:styleId="Heading7Char">
    <w:name w:val="Heading 7 Char"/>
    <w:basedOn w:val="DefaultParagraphFont"/>
    <w:link w:val="Heading7"/>
    <w:uiPriority w:val="9"/>
    <w:locked/>
    <w:rsid w:val="003320FD"/>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320FD"/>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320FD"/>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3320FD"/>
    <w:rPr>
      <w:rFonts w:cs="Times New Roman"/>
    </w:rPr>
  </w:style>
  <w:style w:type="paragraph" w:customStyle="1" w:styleId="SJIStatuteinTitle">
    <w:name w:val="SJI Statute in Title"/>
    <w:basedOn w:val="Normal"/>
    <w:qFormat/>
    <w:rsid w:val="003320FD"/>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320FD"/>
    <w:pPr>
      <w:tabs>
        <w:tab w:val="left" w:pos="720"/>
      </w:tabs>
      <w:suppressAutoHyphens/>
      <w:spacing w:after="0"/>
    </w:pPr>
    <w:rPr>
      <w:rFonts w:cs="Times New Roman"/>
      <w:i/>
      <w:iCs/>
      <w:szCs w:val="24"/>
    </w:rPr>
  </w:style>
  <w:style w:type="paragraph" w:customStyle="1" w:styleId="SJITableText">
    <w:name w:val="SJI Table Text"/>
    <w:basedOn w:val="Normal"/>
    <w:qFormat/>
    <w:rsid w:val="003320FD"/>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3320FD"/>
    <w:pPr>
      <w:spacing w:before="220"/>
      <w:ind w:firstLine="0"/>
      <w:jc w:val="center"/>
    </w:pPr>
    <w:rPr>
      <w:rFonts w:cs="Courier New"/>
      <w:b/>
    </w:rPr>
  </w:style>
  <w:style w:type="paragraph" w:styleId="ListParagraph">
    <w:name w:val="List Paragraph"/>
    <w:basedOn w:val="Normal"/>
    <w:uiPriority w:val="34"/>
    <w:qFormat/>
    <w:rsid w:val="003320FD"/>
    <w:pPr>
      <w:ind w:left="720"/>
    </w:pPr>
    <w:rPr>
      <w:rFonts w:cs="Times New Roman"/>
    </w:rPr>
  </w:style>
  <w:style w:type="table" w:customStyle="1" w:styleId="TableGrid1">
    <w:name w:val="Table Grid1"/>
    <w:basedOn w:val="TableNormal"/>
    <w:next w:val="TableGrid"/>
    <w:uiPriority w:val="99"/>
    <w:rsid w:val="003320F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320F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3320FD"/>
    <w:pPr>
      <w:widowControl w:val="0"/>
      <w:autoSpaceDE w:val="0"/>
      <w:autoSpaceDN w:val="0"/>
      <w:adjustRightInd w:val="0"/>
      <w:ind w:left="1296" w:hanging="576"/>
    </w:pPr>
    <w:rPr>
      <w:rFonts w:cs="Times New Roman"/>
    </w:rPr>
  </w:style>
  <w:style w:type="character" w:customStyle="1" w:styleId="SJIBold">
    <w:name w:val="SJI Bold"/>
    <w:uiPriority w:val="1"/>
    <w:qFormat/>
    <w:rsid w:val="003320FD"/>
    <w:rPr>
      <w:b/>
    </w:rPr>
  </w:style>
  <w:style w:type="paragraph" w:customStyle="1" w:styleId="SJITableTitle">
    <w:name w:val="SJI Table Title"/>
    <w:basedOn w:val="Normal"/>
    <w:qFormat/>
    <w:rsid w:val="003320F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3320FD"/>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3320FD"/>
    <w:pPr>
      <w:numPr>
        <w:numId w:val="8"/>
      </w:numPr>
    </w:pPr>
  </w:style>
  <w:style w:type="paragraph" w:customStyle="1" w:styleId="SJITableNotation">
    <w:name w:val="SJI Table Notation"/>
    <w:basedOn w:val="SJITableText"/>
    <w:qFormat/>
    <w:rsid w:val="003320FD"/>
    <w:pPr>
      <w:spacing w:before="120" w:after="240"/>
    </w:pPr>
  </w:style>
  <w:style w:type="character" w:customStyle="1" w:styleId="SJIUnderline">
    <w:name w:val="SJI Underline"/>
    <w:uiPriority w:val="1"/>
    <w:qFormat/>
    <w:rsid w:val="003320FD"/>
    <w:rPr>
      <w:rFonts w:ascii="Times New Roman" w:hAnsi="Times New Roman"/>
      <w:sz w:val="28"/>
      <w:u w:val="single"/>
    </w:rPr>
  </w:style>
  <w:style w:type="paragraph" w:styleId="Caption">
    <w:name w:val="caption"/>
    <w:basedOn w:val="Normal"/>
    <w:next w:val="Normal"/>
    <w:uiPriority w:val="35"/>
    <w:semiHidden/>
    <w:unhideWhenUsed/>
    <w:qFormat/>
    <w:rsid w:val="003320FD"/>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320FD"/>
    <w:pPr>
      <w:jc w:val="center"/>
    </w:pPr>
    <w:rPr>
      <w:rFonts w:cs="Times New Roman"/>
      <w:b/>
      <w:bCs/>
      <w:sz w:val="28"/>
      <w:szCs w:val="28"/>
    </w:rPr>
  </w:style>
  <w:style w:type="character" w:customStyle="1" w:styleId="TitleChar">
    <w:name w:val="Title Char"/>
    <w:basedOn w:val="DefaultParagraphFont"/>
    <w:link w:val="Title"/>
    <w:uiPriority w:val="10"/>
    <w:locked/>
    <w:rsid w:val="003320FD"/>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320FD"/>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320FD"/>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320FD"/>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320FD"/>
    <w:rPr>
      <w:rFonts w:ascii="Bookman Old Style" w:hAnsi="Bookman Old Style" w:cs="Times New Roman"/>
      <w:color w:val="000000"/>
    </w:rPr>
  </w:style>
  <w:style w:type="paragraph" w:styleId="Quote">
    <w:name w:val="Quote"/>
    <w:basedOn w:val="Normal"/>
    <w:next w:val="Normal"/>
    <w:link w:val="QuoteChar"/>
    <w:uiPriority w:val="29"/>
    <w:qFormat/>
    <w:rsid w:val="003320FD"/>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320FD"/>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320FD"/>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320FD"/>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320FD"/>
    <w:pPr>
      <w:outlineLvl w:val="9"/>
    </w:pPr>
    <w:rPr>
      <w:b w:val="0"/>
      <w:caps w:val="0"/>
      <w:sz w:val="32"/>
    </w:rPr>
  </w:style>
  <w:style w:type="numbering" w:customStyle="1" w:styleId="NumberandSubs">
    <w:name w:val="Number and Subs"/>
    <w:pPr>
      <w:numPr>
        <w:numId w:val="1"/>
      </w:numPr>
    </w:pPr>
  </w:style>
  <w:style w:type="character" w:styleId="Hyperlink">
    <w:name w:val="Hyperlink"/>
    <w:basedOn w:val="DefaultParagraphFont"/>
    <w:uiPriority w:val="99"/>
    <w:unhideWhenUsed/>
    <w:rsid w:val="001852CE"/>
    <w:rPr>
      <w:color w:val="0563C1" w:themeColor="hyperlink"/>
      <w:u w:val="single"/>
    </w:rPr>
  </w:style>
  <w:style w:type="character" w:styleId="UnresolvedMention">
    <w:name w:val="Unresolved Mention"/>
    <w:basedOn w:val="DefaultParagraphFont"/>
    <w:uiPriority w:val="99"/>
    <w:semiHidden/>
    <w:unhideWhenUsed/>
    <w:rsid w:val="001852CE"/>
    <w:rPr>
      <w:color w:val="605E5C"/>
      <w:shd w:val="clear" w:color="auto" w:fill="E1DFDD"/>
    </w:rPr>
  </w:style>
  <w:style w:type="paragraph" w:styleId="NormalWeb">
    <w:name w:val="Normal (Web)"/>
    <w:basedOn w:val="Normal"/>
    <w:uiPriority w:val="99"/>
    <w:semiHidden/>
    <w:unhideWhenUsed/>
    <w:rsid w:val="00E5421F"/>
    <w:pPr>
      <w:spacing w:before="100" w:beforeAutospacing="1" w:after="100" w:afterAutospacing="1" w:line="240" w:lineRule="auto"/>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97024">
      <w:bodyDiv w:val="1"/>
      <w:marLeft w:val="0"/>
      <w:marRight w:val="0"/>
      <w:marTop w:val="0"/>
      <w:marBottom w:val="0"/>
      <w:divBdr>
        <w:top w:val="none" w:sz="0" w:space="0" w:color="auto"/>
        <w:left w:val="none" w:sz="0" w:space="0" w:color="auto"/>
        <w:bottom w:val="none" w:sz="0" w:space="0" w:color="auto"/>
        <w:right w:val="none" w:sz="0" w:space="0" w:color="auto"/>
      </w:divBdr>
      <w:divsChild>
        <w:div w:id="1979987846">
          <w:marLeft w:val="0"/>
          <w:marRight w:val="0"/>
          <w:marTop w:val="0"/>
          <w:marBottom w:val="0"/>
          <w:divBdr>
            <w:top w:val="none" w:sz="0" w:space="0" w:color="auto"/>
            <w:left w:val="none" w:sz="0" w:space="0" w:color="auto"/>
            <w:bottom w:val="none" w:sz="0" w:space="0" w:color="auto"/>
            <w:right w:val="none" w:sz="0" w:space="0" w:color="auto"/>
          </w:divBdr>
        </w:div>
        <w:div w:id="637958187">
          <w:marLeft w:val="0"/>
          <w:marRight w:val="0"/>
          <w:marTop w:val="0"/>
          <w:marBottom w:val="0"/>
          <w:divBdr>
            <w:top w:val="none" w:sz="0" w:space="0" w:color="auto"/>
            <w:left w:val="none" w:sz="0" w:space="0" w:color="auto"/>
            <w:bottom w:val="none" w:sz="0" w:space="0" w:color="auto"/>
            <w:right w:val="none" w:sz="0" w:space="0" w:color="auto"/>
          </w:divBdr>
        </w:div>
        <w:div w:id="998384430">
          <w:marLeft w:val="0"/>
          <w:marRight w:val="0"/>
          <w:marTop w:val="0"/>
          <w:marBottom w:val="0"/>
          <w:divBdr>
            <w:top w:val="none" w:sz="0" w:space="0" w:color="auto"/>
            <w:left w:val="none" w:sz="0" w:space="0" w:color="auto"/>
            <w:bottom w:val="none" w:sz="0" w:space="0" w:color="auto"/>
            <w:right w:val="none" w:sz="0" w:space="0" w:color="auto"/>
          </w:divBdr>
        </w:div>
      </w:divsChild>
    </w:div>
    <w:div w:id="882257652">
      <w:bodyDiv w:val="1"/>
      <w:marLeft w:val="0"/>
      <w:marRight w:val="0"/>
      <w:marTop w:val="0"/>
      <w:marBottom w:val="0"/>
      <w:divBdr>
        <w:top w:val="none" w:sz="0" w:space="0" w:color="auto"/>
        <w:left w:val="none" w:sz="0" w:space="0" w:color="auto"/>
        <w:bottom w:val="none" w:sz="0" w:space="0" w:color="auto"/>
        <w:right w:val="none" w:sz="0" w:space="0" w:color="auto"/>
      </w:divBdr>
    </w:div>
    <w:div w:id="1786538868">
      <w:bodyDiv w:val="1"/>
      <w:marLeft w:val="0"/>
      <w:marRight w:val="0"/>
      <w:marTop w:val="0"/>
      <w:marBottom w:val="0"/>
      <w:divBdr>
        <w:top w:val="none" w:sz="0" w:space="0" w:color="auto"/>
        <w:left w:val="none" w:sz="0" w:space="0" w:color="auto"/>
        <w:bottom w:val="none" w:sz="0" w:space="0" w:color="auto"/>
        <w:right w:val="none" w:sz="0" w:space="0" w:color="auto"/>
      </w:divBdr>
      <w:divsChild>
        <w:div w:id="325940925">
          <w:marLeft w:val="0"/>
          <w:marRight w:val="0"/>
          <w:marTop w:val="0"/>
          <w:marBottom w:val="0"/>
          <w:divBdr>
            <w:top w:val="none" w:sz="0" w:space="0" w:color="auto"/>
            <w:left w:val="none" w:sz="0" w:space="0" w:color="auto"/>
            <w:bottom w:val="none" w:sz="0" w:space="0" w:color="auto"/>
            <w:right w:val="none" w:sz="0" w:space="0" w:color="auto"/>
          </w:divBdr>
        </w:div>
        <w:div w:id="1642272696">
          <w:marLeft w:val="0"/>
          <w:marRight w:val="0"/>
          <w:marTop w:val="0"/>
          <w:marBottom w:val="0"/>
          <w:divBdr>
            <w:top w:val="none" w:sz="0" w:space="0" w:color="auto"/>
            <w:left w:val="none" w:sz="0" w:space="0" w:color="auto"/>
            <w:bottom w:val="none" w:sz="0" w:space="0" w:color="auto"/>
            <w:right w:val="none" w:sz="0" w:space="0" w:color="auto"/>
          </w:divBdr>
        </w:div>
        <w:div w:id="211913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CBB13-A3CA-45A2-A238-55FFE698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3627</Characters>
  <Application>Microsoft Office Word</Application>
  <DocSecurity>0</DocSecurity>
  <Lines>88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2026-03-22T15:35:00Z</dcterms:created>
  <dcterms:modified xsi:type="dcterms:W3CDTF">2026-03-26T13:56:00Z</dcterms:modified>
</cp:coreProperties>
</file>