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7227" w14:textId="77777777" w:rsidR="007936AC" w:rsidRPr="007936AC" w:rsidRDefault="007936AC" w:rsidP="00BC4AD4">
      <w:pPr>
        <w:pStyle w:val="Heading3"/>
        <w:rPr>
          <w:rFonts w:eastAsia="Times New Roman"/>
        </w:rPr>
      </w:pPr>
      <w:r w:rsidRPr="007936AC">
        <w:rPr>
          <w:rFonts w:eastAsia="Times New Roman"/>
        </w:rPr>
        <w:t xml:space="preserve">8.34 NON-CONSENSUAL [INSTALLATION] [USE] OF A TRACKING [DEVICE] [APPLICATION] </w:t>
      </w:r>
    </w:p>
    <w:p w14:paraId="7DD63927" w14:textId="39965E5E" w:rsidR="007936AC" w:rsidRPr="007936AC" w:rsidRDefault="007936AC" w:rsidP="00BC4AD4">
      <w:pPr>
        <w:pStyle w:val="SJIStatuteinTitle"/>
      </w:pPr>
      <w:r w:rsidRPr="007936AC">
        <w:t>§ 934.425(2</w:t>
      </w:r>
      <w:r w:rsidRPr="00226DDF">
        <w:t>)</w:t>
      </w:r>
      <w:r w:rsidR="00B93996" w:rsidRPr="00226DDF">
        <w:t xml:space="preserve"> and (</w:t>
      </w:r>
      <w:r w:rsidR="00D25C46" w:rsidRPr="00226DDF">
        <w:t>5</w:t>
      </w:r>
      <w:r w:rsidR="00B93996" w:rsidRPr="00226DDF">
        <w:t>)</w:t>
      </w:r>
      <w:r w:rsidRPr="00226DDF">
        <w:t>,</w:t>
      </w:r>
      <w:r w:rsidRPr="007936AC">
        <w:t xml:space="preserve"> Fla. Stat.</w:t>
      </w:r>
    </w:p>
    <w:p w14:paraId="1E5B7818" w14:textId="77777777" w:rsidR="007936AC" w:rsidRPr="007936AC" w:rsidRDefault="007936AC" w:rsidP="007936AC">
      <w:pPr>
        <w:rPr>
          <w:rFonts w:cs="Calibri"/>
          <w:b/>
          <w:bCs/>
        </w:rPr>
      </w:pPr>
      <w:r w:rsidRPr="007936AC">
        <w:rPr>
          <w:rFonts w:cs="Calibri"/>
          <w:b/>
          <w:bCs/>
        </w:rPr>
        <w:t>To prove the crime of Non-Consensual [Installation] [Use] of a Tracking [Device] [Application], the State must prove the following two elements beyond a reasonable doubt:</w:t>
      </w:r>
    </w:p>
    <w:p w14:paraId="361AEBFD" w14:textId="77777777" w:rsidR="007936AC" w:rsidRPr="007936AC" w:rsidRDefault="007936AC" w:rsidP="007936AC">
      <w:pPr>
        <w:tabs>
          <w:tab w:val="left" w:pos="720"/>
        </w:tabs>
        <w:suppressAutoHyphens/>
        <w:spacing w:after="0"/>
        <w:rPr>
          <w:rFonts w:cs="Times New Roman"/>
          <w:i/>
          <w:iCs/>
          <w:szCs w:val="24"/>
        </w:rPr>
      </w:pPr>
      <w:r w:rsidRPr="007936AC">
        <w:rPr>
          <w:rFonts w:cs="Times New Roman"/>
          <w:i/>
          <w:iCs/>
          <w:szCs w:val="24"/>
        </w:rPr>
        <w:t xml:space="preserve">Give 1a or 1b or both as applicable. </w:t>
      </w:r>
    </w:p>
    <w:p w14:paraId="41DC1663" w14:textId="77777777" w:rsidR="007936AC" w:rsidRPr="007936AC" w:rsidRDefault="007936AC" w:rsidP="007936AC">
      <w:pPr>
        <w:numPr>
          <w:ilvl w:val="0"/>
          <w:numId w:val="1"/>
        </w:numPr>
        <w:ind w:left="1296" w:hanging="576"/>
        <w:rPr>
          <w:rFonts w:cs="Calibri"/>
        </w:rPr>
      </w:pPr>
      <w:r w:rsidRPr="007936AC">
        <w:rPr>
          <w:rFonts w:cs="Calibri"/>
        </w:rPr>
        <w:t xml:space="preserve">(Defendant) </w:t>
      </w:r>
      <w:r w:rsidRPr="007936AC">
        <w:rPr>
          <w:rFonts w:cs="Calibri"/>
          <w:b/>
          <w:bCs/>
        </w:rPr>
        <w:t>knowingly</w:t>
      </w:r>
      <w:r w:rsidRPr="007936AC">
        <w:rPr>
          <w:rFonts w:cs="Calibri"/>
        </w:rPr>
        <w:t xml:space="preserve"> </w:t>
      </w:r>
    </w:p>
    <w:p w14:paraId="3353A6C3" w14:textId="77777777" w:rsidR="007936AC" w:rsidRPr="007936AC" w:rsidRDefault="007936AC" w:rsidP="007936AC">
      <w:pPr>
        <w:numPr>
          <w:ilvl w:val="1"/>
          <w:numId w:val="1"/>
        </w:numPr>
        <w:ind w:left="1872" w:hanging="576"/>
        <w:rPr>
          <w:rFonts w:cs="Calibri"/>
          <w:b/>
          <w:bCs/>
        </w:rPr>
      </w:pPr>
      <w:r w:rsidRPr="007936AC">
        <w:rPr>
          <w:rFonts w:cs="Calibri"/>
          <w:b/>
          <w:bCs/>
        </w:rPr>
        <w:t xml:space="preserve">installed or placed a tracking [device] [application] on </w:t>
      </w:r>
      <w:r w:rsidRPr="007936AC">
        <w:rPr>
          <w:rFonts w:cs="Calibri"/>
        </w:rPr>
        <w:t xml:space="preserve">(victim’s) </w:t>
      </w:r>
      <w:r w:rsidRPr="007936AC">
        <w:rPr>
          <w:rFonts w:cs="Calibri"/>
          <w:b/>
          <w:bCs/>
        </w:rPr>
        <w:t>property.</w:t>
      </w:r>
    </w:p>
    <w:p w14:paraId="2B3155AA" w14:textId="77777777" w:rsidR="007936AC" w:rsidRPr="007936AC" w:rsidRDefault="007936AC" w:rsidP="007936AC">
      <w:pPr>
        <w:numPr>
          <w:ilvl w:val="1"/>
          <w:numId w:val="1"/>
        </w:numPr>
        <w:ind w:left="1872" w:hanging="576"/>
        <w:rPr>
          <w:rFonts w:cs="Calibri"/>
          <w:b/>
          <w:bCs/>
        </w:rPr>
      </w:pPr>
      <w:r w:rsidRPr="007936AC">
        <w:rPr>
          <w:rFonts w:cs="Calibri"/>
          <w:b/>
          <w:bCs/>
        </w:rPr>
        <w:t xml:space="preserve">used a tracking [device] [application] to determine the location or movement of </w:t>
      </w:r>
      <w:r w:rsidRPr="007936AC">
        <w:rPr>
          <w:rFonts w:cs="Calibri"/>
        </w:rPr>
        <w:t xml:space="preserve">(victim’s) </w:t>
      </w:r>
      <w:r w:rsidRPr="007936AC">
        <w:rPr>
          <w:rFonts w:cs="Calibri"/>
          <w:b/>
          <w:bCs/>
        </w:rPr>
        <w:t>[person] [or] [property].</w:t>
      </w:r>
    </w:p>
    <w:p w14:paraId="1EB037E5" w14:textId="77777777" w:rsidR="007936AC" w:rsidRPr="007936AC" w:rsidRDefault="007936AC" w:rsidP="007936AC">
      <w:pPr>
        <w:numPr>
          <w:ilvl w:val="0"/>
          <w:numId w:val="1"/>
        </w:numPr>
        <w:ind w:left="1296" w:hanging="576"/>
        <w:rPr>
          <w:rFonts w:cs="Calibri"/>
        </w:rPr>
      </w:pPr>
      <w:r w:rsidRPr="007936AC">
        <w:rPr>
          <w:rFonts w:cs="Calibri"/>
        </w:rPr>
        <w:t xml:space="preserve">(Defendant) </w:t>
      </w:r>
      <w:r w:rsidRPr="007936AC">
        <w:rPr>
          <w:rFonts w:cs="Calibri"/>
          <w:b/>
          <w:bCs/>
        </w:rPr>
        <w:t xml:space="preserve">did so without </w:t>
      </w:r>
      <w:r w:rsidRPr="007936AC">
        <w:rPr>
          <w:rFonts w:cs="Calibri"/>
        </w:rPr>
        <w:t xml:space="preserve">(victim’s) </w:t>
      </w:r>
      <w:r w:rsidRPr="007936AC">
        <w:rPr>
          <w:rFonts w:cs="Calibri"/>
          <w:b/>
          <w:bCs/>
        </w:rPr>
        <w:t>consent</w:t>
      </w:r>
      <w:r w:rsidRPr="007936AC">
        <w:rPr>
          <w:rFonts w:cs="Calibri"/>
        </w:rPr>
        <w:t>.</w:t>
      </w:r>
    </w:p>
    <w:p w14:paraId="695D1D90" w14:textId="77777777" w:rsidR="007936AC" w:rsidRPr="007936AC" w:rsidRDefault="007936AC" w:rsidP="007936AC">
      <w:pPr>
        <w:tabs>
          <w:tab w:val="left" w:pos="720"/>
        </w:tabs>
        <w:suppressAutoHyphens/>
        <w:spacing w:after="0"/>
        <w:rPr>
          <w:rFonts w:cs="Times New Roman"/>
          <w:i/>
          <w:iCs/>
          <w:szCs w:val="24"/>
        </w:rPr>
      </w:pPr>
      <w:r w:rsidRPr="007936AC">
        <w:rPr>
          <w:rFonts w:cs="Times New Roman"/>
          <w:i/>
          <w:iCs/>
          <w:szCs w:val="24"/>
        </w:rPr>
        <w:t xml:space="preserve">Give as applicable. § 934.425, Fla. Stat. </w:t>
      </w:r>
    </w:p>
    <w:p w14:paraId="34440131" w14:textId="77777777" w:rsidR="007936AC" w:rsidRPr="007936AC" w:rsidRDefault="007936AC" w:rsidP="007936AC">
      <w:pPr>
        <w:rPr>
          <w:rFonts w:cs="Calibri"/>
          <w:b/>
          <w:bCs/>
        </w:rPr>
      </w:pPr>
      <w:r w:rsidRPr="007936AC">
        <w:rPr>
          <w:rFonts w:cs="Calibri"/>
          <w:b/>
          <w:bCs/>
        </w:rPr>
        <w:t>“Tracking device” means any device whose primary purpose is to reveal its location or movement by the transmission of electronic signals.</w:t>
      </w:r>
    </w:p>
    <w:p w14:paraId="2FEE9383" w14:textId="77777777" w:rsidR="007936AC" w:rsidRPr="007936AC" w:rsidRDefault="007936AC" w:rsidP="007936AC">
      <w:pPr>
        <w:rPr>
          <w:rFonts w:cs="Calibri"/>
          <w:b/>
          <w:bCs/>
        </w:rPr>
      </w:pPr>
      <w:r w:rsidRPr="007936AC">
        <w:rPr>
          <w:rFonts w:cs="Calibri"/>
          <w:b/>
          <w:bCs/>
        </w:rPr>
        <w:t>“Tracking application” means any software program whose primary purpose is to track or identify the location or movement of an individual.</w:t>
      </w:r>
    </w:p>
    <w:p w14:paraId="6E9DD2D7" w14:textId="77777777" w:rsidR="007936AC" w:rsidRPr="007936AC" w:rsidRDefault="007936AC" w:rsidP="007936AC">
      <w:pPr>
        <w:tabs>
          <w:tab w:val="left" w:pos="720"/>
        </w:tabs>
        <w:suppressAutoHyphens/>
        <w:spacing w:after="0"/>
        <w:rPr>
          <w:rFonts w:cs="Times New Roman"/>
          <w:i/>
          <w:iCs/>
          <w:szCs w:val="24"/>
        </w:rPr>
      </w:pPr>
      <w:r w:rsidRPr="007936AC">
        <w:rPr>
          <w:rFonts w:cs="Times New Roman"/>
          <w:i/>
          <w:iCs/>
          <w:szCs w:val="24"/>
        </w:rPr>
        <w:t xml:space="preserve">Inference. Give if applicable. </w:t>
      </w:r>
    </w:p>
    <w:p w14:paraId="37AE8289" w14:textId="0401EB24" w:rsidR="007936AC" w:rsidRPr="007936AC" w:rsidRDefault="007936AC" w:rsidP="007936AC">
      <w:pPr>
        <w:rPr>
          <w:rFonts w:cs="Calibri"/>
        </w:rPr>
      </w:pPr>
      <w:r w:rsidRPr="007936AC">
        <w:rPr>
          <w:rFonts w:cs="Calibri"/>
          <w:b/>
          <w:bCs/>
        </w:rPr>
        <w:t xml:space="preserve">You may infer </w:t>
      </w:r>
      <w:r w:rsidRPr="007936AC">
        <w:rPr>
          <w:rFonts w:cs="Calibri"/>
        </w:rPr>
        <w:t xml:space="preserve">(victim’s) </w:t>
      </w:r>
      <w:r w:rsidRPr="007936AC">
        <w:rPr>
          <w:rFonts w:cs="Calibri"/>
          <w:b/>
          <w:bCs/>
        </w:rPr>
        <w:t xml:space="preserve">consent was revoked if: </w:t>
      </w:r>
    </w:p>
    <w:p w14:paraId="3CD28222" w14:textId="77777777" w:rsidR="007936AC" w:rsidRPr="007936AC" w:rsidRDefault="007936AC" w:rsidP="007936AC">
      <w:pPr>
        <w:rPr>
          <w:rFonts w:cs="Calibri"/>
          <w:b/>
          <w:bCs/>
        </w:rPr>
      </w:pPr>
      <w:r w:rsidRPr="007936AC">
        <w:rPr>
          <w:rFonts w:cs="Calibri"/>
        </w:rPr>
        <w:t xml:space="preserve">(Victim) </w:t>
      </w:r>
      <w:r w:rsidRPr="007936AC">
        <w:rPr>
          <w:rFonts w:cs="Calibri"/>
          <w:b/>
          <w:bCs/>
        </w:rPr>
        <w:t>and</w:t>
      </w:r>
      <w:r w:rsidRPr="007936AC">
        <w:rPr>
          <w:rFonts w:cs="Calibri"/>
        </w:rPr>
        <w:t xml:space="preserve"> (defendant) </w:t>
      </w:r>
      <w:r w:rsidRPr="007936AC">
        <w:rPr>
          <w:rFonts w:cs="Calibri"/>
          <w:b/>
          <w:bCs/>
        </w:rPr>
        <w:t>were lawfully married but a petition for dissolution of marriage was filed.</w:t>
      </w:r>
    </w:p>
    <w:p w14:paraId="72D72D50" w14:textId="77777777" w:rsidR="007936AC" w:rsidRDefault="007936AC" w:rsidP="007936AC">
      <w:pPr>
        <w:rPr>
          <w:rFonts w:cs="Calibri"/>
          <w:b/>
          <w:bCs/>
        </w:rPr>
      </w:pPr>
      <w:r w:rsidRPr="007936AC">
        <w:rPr>
          <w:rFonts w:cs="Calibri"/>
          <w:b/>
          <w:bCs/>
        </w:rPr>
        <w:t>Either</w:t>
      </w:r>
      <w:r w:rsidRPr="007936AC">
        <w:rPr>
          <w:rFonts w:cs="Calibri"/>
        </w:rPr>
        <w:t xml:space="preserve"> (victim) </w:t>
      </w:r>
      <w:r w:rsidRPr="007936AC">
        <w:rPr>
          <w:rFonts w:cs="Calibri"/>
          <w:b/>
          <w:bCs/>
        </w:rPr>
        <w:t>or</w:t>
      </w:r>
      <w:r w:rsidRPr="007936AC">
        <w:rPr>
          <w:rFonts w:cs="Calibri"/>
        </w:rPr>
        <w:t xml:space="preserve"> (defendant) </w:t>
      </w:r>
      <w:r w:rsidRPr="007936AC">
        <w:rPr>
          <w:rFonts w:cs="Calibri"/>
          <w:b/>
          <w:bCs/>
        </w:rPr>
        <w:t>filed an injunction for protection against the other person pursuant to § [741.30] [741.315] [784.046] [784.0435], Florida Statutes.</w:t>
      </w:r>
    </w:p>
    <w:p w14:paraId="037BF439" w14:textId="4EBAAA4A" w:rsidR="00B93996" w:rsidRPr="00226DDF" w:rsidRDefault="00B93996" w:rsidP="00B93996">
      <w:pPr>
        <w:spacing w:after="0"/>
        <w:rPr>
          <w:rFonts w:cs="Calibri"/>
          <w:i/>
          <w:iCs/>
        </w:rPr>
      </w:pPr>
      <w:r w:rsidRPr="00226DDF">
        <w:rPr>
          <w:rFonts w:cs="Calibri"/>
          <w:i/>
          <w:iCs/>
        </w:rPr>
        <w:t>§ 934.425(</w:t>
      </w:r>
      <w:r w:rsidR="00D25C46" w:rsidRPr="00226DDF">
        <w:rPr>
          <w:rFonts w:cs="Calibri"/>
          <w:i/>
          <w:iCs/>
        </w:rPr>
        <w:t>5</w:t>
      </w:r>
      <w:r w:rsidRPr="00226DDF">
        <w:rPr>
          <w:rFonts w:cs="Calibri"/>
          <w:i/>
          <w:iCs/>
        </w:rPr>
        <w:t xml:space="preserve">), Fla. Stat. Give if applicable. </w:t>
      </w:r>
    </w:p>
    <w:p w14:paraId="52A2B65E" w14:textId="6F1B1A75" w:rsidR="00B93996" w:rsidRPr="00226DDF" w:rsidRDefault="00B93996" w:rsidP="007936AC">
      <w:pPr>
        <w:rPr>
          <w:rFonts w:cs="Calibri"/>
        </w:rPr>
      </w:pPr>
      <w:r w:rsidRPr="00226DDF">
        <w:rPr>
          <w:rFonts w:cs="Calibri"/>
          <w:b/>
          <w:bCs/>
        </w:rPr>
        <w:t xml:space="preserve">If you find </w:t>
      </w:r>
      <w:r w:rsidRPr="00226DDF">
        <w:rPr>
          <w:rFonts w:cs="Calibri"/>
        </w:rPr>
        <w:t xml:space="preserve">(defendant) </w:t>
      </w:r>
      <w:r w:rsidRPr="00226DDF">
        <w:rPr>
          <w:rFonts w:cs="Calibri"/>
          <w:b/>
          <w:bCs/>
        </w:rPr>
        <w:t xml:space="preserve">guilty of Non-Consensual [Installation] [Use] of a Tracking [Device] [Application], you must further determine whether the State proved beyond a reasonable doubt that </w:t>
      </w:r>
      <w:r w:rsidR="00D25C46" w:rsidRPr="00226DDF">
        <w:rPr>
          <w:rFonts w:cs="Calibri"/>
          <w:b/>
          <w:bCs/>
        </w:rPr>
        <w:t>[he] [she]</w:t>
      </w:r>
      <w:r w:rsidRPr="00226DDF">
        <w:rPr>
          <w:rFonts w:cs="Calibri"/>
          <w:b/>
          <w:bCs/>
        </w:rPr>
        <w:t xml:space="preserve"> committed the crime to commit </w:t>
      </w:r>
      <w:r w:rsidR="00D25C46" w:rsidRPr="00226DDF">
        <w:rPr>
          <w:rFonts w:cs="Calibri"/>
          <w:b/>
          <w:bCs/>
        </w:rPr>
        <w:t xml:space="preserve">or to facilitate the commission of </w:t>
      </w:r>
      <w:r w:rsidRPr="00226DDF">
        <w:rPr>
          <w:rFonts w:cs="Calibri"/>
          <w:b/>
          <w:bCs/>
        </w:rPr>
        <w:t xml:space="preserve">a[n] </w:t>
      </w:r>
      <w:r w:rsidRPr="00226DDF">
        <w:rPr>
          <w:rFonts w:cs="Calibri"/>
        </w:rPr>
        <w:t xml:space="preserve">(insert </w:t>
      </w:r>
      <w:r w:rsidR="00D25C46" w:rsidRPr="00226DDF">
        <w:rPr>
          <w:rFonts w:cs="Calibri"/>
        </w:rPr>
        <w:t xml:space="preserve">the name(s) of the </w:t>
      </w:r>
      <w:r w:rsidRPr="00226DDF">
        <w:rPr>
          <w:rFonts w:cs="Calibri"/>
        </w:rPr>
        <w:t>dangerous crime</w:t>
      </w:r>
      <w:r w:rsidR="00D25C46" w:rsidRPr="00226DDF">
        <w:rPr>
          <w:rFonts w:cs="Calibri"/>
        </w:rPr>
        <w:t>(s)</w:t>
      </w:r>
      <w:r w:rsidRPr="00226DDF">
        <w:rPr>
          <w:rFonts w:cs="Calibri"/>
        </w:rPr>
        <w:t xml:space="preserve"> </w:t>
      </w:r>
      <w:r w:rsidR="00D25C46" w:rsidRPr="00226DDF">
        <w:rPr>
          <w:rFonts w:cs="Calibri"/>
        </w:rPr>
        <w:t xml:space="preserve">listed in </w:t>
      </w:r>
      <w:r w:rsidRPr="00226DDF">
        <w:rPr>
          <w:rFonts w:cs="Calibri"/>
        </w:rPr>
        <w:t>§ 907.041(5)(a), Fla. Stat.)</w:t>
      </w:r>
    </w:p>
    <w:p w14:paraId="57EA6680" w14:textId="6745DA21" w:rsidR="00BC4AD4" w:rsidRDefault="00B93996" w:rsidP="00B93996">
      <w:pPr>
        <w:rPr>
          <w:rFonts w:cs="Calibri"/>
          <w:b/>
          <w:bCs/>
        </w:rPr>
      </w:pPr>
      <w:r w:rsidRPr="00226DDF">
        <w:rPr>
          <w:rFonts w:cs="Calibri"/>
          <w:b/>
          <w:bCs/>
        </w:rPr>
        <w:t xml:space="preserve">A[n] </w:t>
      </w:r>
      <w:r w:rsidRPr="00226DDF">
        <w:rPr>
          <w:rFonts w:cs="Calibri"/>
        </w:rPr>
        <w:t>(insert</w:t>
      </w:r>
      <w:r w:rsidR="00D25C46" w:rsidRPr="00226DDF">
        <w:rPr>
          <w:rFonts w:cs="Calibri"/>
        </w:rPr>
        <w:t xml:space="preserve"> the name(s) of</w:t>
      </w:r>
      <w:r w:rsidRPr="00226DDF">
        <w:rPr>
          <w:rFonts w:cs="Calibri"/>
        </w:rPr>
        <w:t xml:space="preserve"> </w:t>
      </w:r>
      <w:r w:rsidR="00D25C46" w:rsidRPr="00226DDF">
        <w:rPr>
          <w:rFonts w:cs="Calibri"/>
        </w:rPr>
        <w:t xml:space="preserve">the </w:t>
      </w:r>
      <w:r w:rsidRPr="00226DDF">
        <w:rPr>
          <w:rFonts w:cs="Calibri"/>
        </w:rPr>
        <w:t>dangerous crime</w:t>
      </w:r>
      <w:r w:rsidR="00D25C46" w:rsidRPr="00226DDF">
        <w:rPr>
          <w:rFonts w:cs="Calibri"/>
        </w:rPr>
        <w:t>(s)</w:t>
      </w:r>
      <w:r w:rsidRPr="00226DDF">
        <w:rPr>
          <w:rFonts w:cs="Calibri"/>
        </w:rPr>
        <w:t xml:space="preserve">) </w:t>
      </w:r>
      <w:r w:rsidRPr="00226DDF">
        <w:rPr>
          <w:rFonts w:cs="Calibri"/>
          <w:b/>
          <w:bCs/>
        </w:rPr>
        <w:t xml:space="preserve">is defined as follows: </w:t>
      </w:r>
      <w:r w:rsidRPr="00226DDF">
        <w:rPr>
          <w:rFonts w:cs="Calibri"/>
        </w:rPr>
        <w:t xml:space="preserve">(insert </w:t>
      </w:r>
      <w:r w:rsidR="00D25C46" w:rsidRPr="00226DDF">
        <w:rPr>
          <w:rFonts w:cs="Calibri"/>
        </w:rPr>
        <w:t xml:space="preserve">the </w:t>
      </w:r>
      <w:r w:rsidRPr="00226DDF">
        <w:rPr>
          <w:rFonts w:cs="Calibri"/>
        </w:rPr>
        <w:t xml:space="preserve">elements of </w:t>
      </w:r>
      <w:r w:rsidR="00D25C46" w:rsidRPr="00226DDF">
        <w:rPr>
          <w:rFonts w:cs="Calibri"/>
        </w:rPr>
        <w:t xml:space="preserve">the </w:t>
      </w:r>
      <w:r w:rsidRPr="00226DDF">
        <w:rPr>
          <w:rFonts w:cs="Calibri"/>
        </w:rPr>
        <w:t>dangerous crime</w:t>
      </w:r>
      <w:r w:rsidR="00D25C46" w:rsidRPr="00226DDF">
        <w:rPr>
          <w:rFonts w:cs="Calibri"/>
        </w:rPr>
        <w:t>(s)</w:t>
      </w:r>
      <w:r w:rsidRPr="00226DDF">
        <w:rPr>
          <w:rFonts w:cs="Calibri"/>
        </w:rPr>
        <w:t>)</w:t>
      </w:r>
      <w:r w:rsidR="00D25C46" w:rsidRPr="00226DDF">
        <w:rPr>
          <w:rFonts w:cs="Calibri"/>
          <w:b/>
          <w:bCs/>
        </w:rPr>
        <w:t>.</w:t>
      </w:r>
    </w:p>
    <w:p w14:paraId="7DCE21F0" w14:textId="77777777" w:rsidR="00BC4AD4" w:rsidRDefault="00BC4AD4">
      <w:pPr>
        <w:spacing w:after="160"/>
        <w:ind w:firstLine="0"/>
        <w:rPr>
          <w:rFonts w:cs="Calibri"/>
          <w:b/>
          <w:bCs/>
        </w:rPr>
      </w:pPr>
      <w:r>
        <w:rPr>
          <w:rFonts w:cs="Calibri"/>
          <w:b/>
          <w:bCs/>
        </w:rPr>
        <w:br w:type="page"/>
      </w:r>
    </w:p>
    <w:p w14:paraId="4AE9F5F1" w14:textId="31761718" w:rsidR="00B93996" w:rsidRPr="00BC4AD4" w:rsidRDefault="00B93996" w:rsidP="00BC4AD4">
      <w:pPr>
        <w:pStyle w:val="SJIComments"/>
      </w:pPr>
      <w:r w:rsidRPr="00BC4AD4">
        <w:lastRenderedPageBreak/>
        <w:t>Lesser Included Offense</w:t>
      </w:r>
    </w:p>
    <w:p w14:paraId="0C8CF7A5" w14:textId="65C53A06" w:rsidR="00B93996" w:rsidRPr="00BC4AD4" w:rsidRDefault="00B93996" w:rsidP="00BC4AD4">
      <w:pPr>
        <w:pStyle w:val="Heading4"/>
        <w:rPr>
          <w:rFonts w:eastAsia="Times New Roman"/>
        </w:rPr>
      </w:pPr>
      <w:bookmarkStart w:id="0" w:name="_Toc109650848"/>
      <w:r w:rsidRPr="00BC4AD4">
        <w:rPr>
          <w:rFonts w:eastAsia="Times New Roman"/>
        </w:rPr>
        <w:t xml:space="preserve">NON-CONSENSUAL [INSTALLATION] [USE] OF </w:t>
      </w:r>
      <w:proofErr w:type="gramStart"/>
      <w:r w:rsidRPr="00BC4AD4">
        <w:rPr>
          <w:rFonts w:eastAsia="Times New Roman"/>
        </w:rPr>
        <w:t xml:space="preserve">A </w:t>
      </w:r>
      <w:r w:rsidR="00252B53" w:rsidRPr="00BC4AD4">
        <w:rPr>
          <w:rFonts w:eastAsia="Times New Roman"/>
          <w:caps w:val="0"/>
        </w:rPr>
        <w:t>TRACKING</w:t>
      </w:r>
      <w:proofErr w:type="gramEnd"/>
      <w:r w:rsidRPr="00BC4AD4">
        <w:rPr>
          <w:rFonts w:eastAsia="Times New Roman"/>
        </w:rPr>
        <w:t xml:space="preserve"> [DEVICE] [APPLICATION] — 934.</w:t>
      </w:r>
      <w:bookmarkEnd w:id="0"/>
      <w:r w:rsidRPr="00BC4AD4">
        <w:rPr>
          <w:rFonts w:eastAsia="Times New Roman"/>
        </w:rPr>
        <w:t>425</w:t>
      </w:r>
      <w:r w:rsidR="00D25C46" w:rsidRPr="00BC4AD4">
        <w:rPr>
          <w:rFonts w:eastAsia="Times New Roman"/>
        </w:rPr>
        <w:t>(2)</w:t>
      </w:r>
    </w:p>
    <w:tbl>
      <w:tblPr>
        <w:tblStyle w:val="TableGrid1"/>
        <w:tblW w:w="5000" w:type="pct"/>
        <w:tblInd w:w="0" w:type="dxa"/>
        <w:tblLook w:val="0620" w:firstRow="1" w:lastRow="0" w:firstColumn="0" w:lastColumn="0" w:noHBand="1" w:noVBand="1"/>
      </w:tblPr>
      <w:tblGrid>
        <w:gridCol w:w="2991"/>
        <w:gridCol w:w="2992"/>
        <w:gridCol w:w="1964"/>
        <w:gridCol w:w="1403"/>
      </w:tblGrid>
      <w:tr w:rsidR="00B93996" w:rsidRPr="00252B53" w14:paraId="6640BC84" w14:textId="77777777" w:rsidTr="00252B53">
        <w:trPr>
          <w:cnfStyle w:val="100000000000" w:firstRow="1" w:lastRow="0" w:firstColumn="0" w:lastColumn="0" w:oddVBand="0" w:evenVBand="0" w:oddHBand="0" w:evenHBand="0" w:firstRowFirstColumn="0" w:firstRowLastColumn="0" w:lastRowFirstColumn="0" w:lastRowLastColumn="0"/>
        </w:trPr>
        <w:tc>
          <w:tcPr>
            <w:tcW w:w="1599" w:type="pct"/>
            <w:tcBorders>
              <w:top w:val="single" w:sz="4" w:space="0" w:color="auto"/>
              <w:left w:val="single" w:sz="4" w:space="0" w:color="auto"/>
              <w:bottom w:val="single" w:sz="4" w:space="0" w:color="auto"/>
              <w:right w:val="single" w:sz="4" w:space="0" w:color="auto"/>
            </w:tcBorders>
            <w:hideMark/>
          </w:tcPr>
          <w:p w14:paraId="1705274C" w14:textId="77777777" w:rsidR="00B93996" w:rsidRPr="00252B53" w:rsidRDefault="00B93996" w:rsidP="00252B53">
            <w:pPr>
              <w:pStyle w:val="SJITableText"/>
            </w:pPr>
            <w:r w:rsidRPr="00252B53">
              <w:t>CATEGORY ONE</w:t>
            </w:r>
          </w:p>
        </w:tc>
        <w:tc>
          <w:tcPr>
            <w:tcW w:w="1600" w:type="pct"/>
            <w:tcBorders>
              <w:top w:val="single" w:sz="4" w:space="0" w:color="auto"/>
              <w:left w:val="single" w:sz="4" w:space="0" w:color="auto"/>
              <w:bottom w:val="single" w:sz="4" w:space="0" w:color="auto"/>
              <w:right w:val="single" w:sz="4" w:space="0" w:color="auto"/>
            </w:tcBorders>
            <w:hideMark/>
          </w:tcPr>
          <w:p w14:paraId="3BC1447C" w14:textId="77777777" w:rsidR="00B93996" w:rsidRPr="00252B53" w:rsidRDefault="00B93996" w:rsidP="00252B53">
            <w:pPr>
              <w:pStyle w:val="SJITableText"/>
            </w:pPr>
            <w:r w:rsidRPr="00252B53">
              <w:t>CATEGORY TWO</w:t>
            </w:r>
          </w:p>
        </w:tc>
        <w:tc>
          <w:tcPr>
            <w:tcW w:w="1050" w:type="pct"/>
            <w:tcBorders>
              <w:top w:val="single" w:sz="4" w:space="0" w:color="auto"/>
              <w:left w:val="single" w:sz="4" w:space="0" w:color="auto"/>
              <w:bottom w:val="single" w:sz="4" w:space="0" w:color="auto"/>
              <w:right w:val="single" w:sz="4" w:space="0" w:color="auto"/>
            </w:tcBorders>
            <w:hideMark/>
          </w:tcPr>
          <w:p w14:paraId="006D1388" w14:textId="77777777" w:rsidR="00B93996" w:rsidRPr="00252B53" w:rsidRDefault="00B93996" w:rsidP="00252B53">
            <w:pPr>
              <w:pStyle w:val="SJITableText"/>
            </w:pPr>
            <w:r w:rsidRPr="00252B53">
              <w:t>FLA. STAT.</w:t>
            </w:r>
          </w:p>
        </w:tc>
        <w:tc>
          <w:tcPr>
            <w:tcW w:w="750" w:type="pct"/>
            <w:tcBorders>
              <w:top w:val="single" w:sz="4" w:space="0" w:color="auto"/>
              <w:left w:val="single" w:sz="4" w:space="0" w:color="auto"/>
              <w:bottom w:val="single" w:sz="4" w:space="0" w:color="auto"/>
              <w:right w:val="single" w:sz="4" w:space="0" w:color="auto"/>
            </w:tcBorders>
            <w:hideMark/>
          </w:tcPr>
          <w:p w14:paraId="7392EAA5" w14:textId="77777777" w:rsidR="00B93996" w:rsidRPr="00252B53" w:rsidRDefault="00B93996" w:rsidP="00252B53">
            <w:pPr>
              <w:pStyle w:val="SJITableText"/>
            </w:pPr>
            <w:r w:rsidRPr="00252B53">
              <w:t>INS. NO.</w:t>
            </w:r>
          </w:p>
        </w:tc>
      </w:tr>
      <w:tr w:rsidR="00B93996" w:rsidRPr="00252B53" w14:paraId="3E5C2C9E" w14:textId="77777777" w:rsidTr="00252B53">
        <w:tc>
          <w:tcPr>
            <w:tcW w:w="1599" w:type="pct"/>
            <w:tcBorders>
              <w:top w:val="single" w:sz="4" w:space="0" w:color="auto"/>
              <w:left w:val="single" w:sz="4" w:space="0" w:color="auto"/>
              <w:bottom w:val="single" w:sz="4" w:space="0" w:color="auto"/>
              <w:right w:val="single" w:sz="4" w:space="0" w:color="auto"/>
            </w:tcBorders>
            <w:hideMark/>
          </w:tcPr>
          <w:p w14:paraId="5C8D1401" w14:textId="0DBDC401" w:rsidR="00B93996" w:rsidRPr="00252B53" w:rsidRDefault="00B93996" w:rsidP="00252B53">
            <w:pPr>
              <w:pStyle w:val="SJITableText"/>
            </w:pPr>
            <w:r w:rsidRPr="00252B53">
              <w:t>None</w:t>
            </w:r>
          </w:p>
        </w:tc>
        <w:tc>
          <w:tcPr>
            <w:tcW w:w="1600" w:type="pct"/>
            <w:tcBorders>
              <w:top w:val="single" w:sz="4" w:space="0" w:color="auto"/>
              <w:left w:val="single" w:sz="4" w:space="0" w:color="auto"/>
              <w:bottom w:val="single" w:sz="4" w:space="0" w:color="auto"/>
              <w:right w:val="single" w:sz="4" w:space="0" w:color="auto"/>
            </w:tcBorders>
          </w:tcPr>
          <w:p w14:paraId="2B455477" w14:textId="77777777" w:rsidR="00B93996" w:rsidRPr="00252B53" w:rsidRDefault="00B93996" w:rsidP="00252B53">
            <w:pPr>
              <w:pStyle w:val="SJITableText"/>
            </w:pPr>
          </w:p>
        </w:tc>
        <w:tc>
          <w:tcPr>
            <w:tcW w:w="1050" w:type="pct"/>
            <w:tcBorders>
              <w:top w:val="single" w:sz="4" w:space="0" w:color="auto"/>
              <w:left w:val="single" w:sz="4" w:space="0" w:color="auto"/>
              <w:bottom w:val="single" w:sz="4" w:space="0" w:color="auto"/>
              <w:right w:val="single" w:sz="4" w:space="0" w:color="auto"/>
            </w:tcBorders>
          </w:tcPr>
          <w:p w14:paraId="1DC61480" w14:textId="77777777" w:rsidR="00B93996" w:rsidRPr="00252B53" w:rsidRDefault="00B93996" w:rsidP="00252B53">
            <w:pPr>
              <w:pStyle w:val="SJITableText"/>
            </w:pPr>
          </w:p>
        </w:tc>
        <w:tc>
          <w:tcPr>
            <w:tcW w:w="750" w:type="pct"/>
            <w:tcBorders>
              <w:top w:val="single" w:sz="4" w:space="0" w:color="auto"/>
              <w:left w:val="single" w:sz="4" w:space="0" w:color="auto"/>
              <w:bottom w:val="single" w:sz="4" w:space="0" w:color="auto"/>
              <w:right w:val="single" w:sz="4" w:space="0" w:color="auto"/>
            </w:tcBorders>
          </w:tcPr>
          <w:p w14:paraId="530D3FFA" w14:textId="77777777" w:rsidR="00B93996" w:rsidRPr="00252B53" w:rsidRDefault="00B93996" w:rsidP="00252B53">
            <w:pPr>
              <w:pStyle w:val="SJITableText"/>
            </w:pPr>
          </w:p>
        </w:tc>
      </w:tr>
      <w:tr w:rsidR="00B93996" w:rsidRPr="00252B53" w14:paraId="2D3FBD26" w14:textId="77777777" w:rsidTr="00252B53">
        <w:tc>
          <w:tcPr>
            <w:tcW w:w="1599" w:type="pct"/>
            <w:tcBorders>
              <w:top w:val="single" w:sz="4" w:space="0" w:color="auto"/>
              <w:left w:val="single" w:sz="4" w:space="0" w:color="auto"/>
              <w:bottom w:val="single" w:sz="4" w:space="0" w:color="auto"/>
              <w:right w:val="single" w:sz="4" w:space="0" w:color="auto"/>
            </w:tcBorders>
          </w:tcPr>
          <w:p w14:paraId="71287838" w14:textId="77777777" w:rsidR="00B93996" w:rsidRPr="00252B53" w:rsidRDefault="00B93996" w:rsidP="00252B53">
            <w:pPr>
              <w:pStyle w:val="SJITableText"/>
            </w:pPr>
          </w:p>
        </w:tc>
        <w:tc>
          <w:tcPr>
            <w:tcW w:w="1600" w:type="pct"/>
            <w:tcBorders>
              <w:top w:val="single" w:sz="4" w:space="0" w:color="auto"/>
              <w:left w:val="single" w:sz="4" w:space="0" w:color="auto"/>
              <w:bottom w:val="single" w:sz="4" w:space="0" w:color="auto"/>
              <w:right w:val="single" w:sz="4" w:space="0" w:color="auto"/>
            </w:tcBorders>
            <w:hideMark/>
          </w:tcPr>
          <w:p w14:paraId="3898FFD8" w14:textId="0FED8F53" w:rsidR="00B93996" w:rsidRPr="00252B53" w:rsidRDefault="00B93996" w:rsidP="00252B53">
            <w:pPr>
              <w:pStyle w:val="SJITableText"/>
            </w:pPr>
            <w:r w:rsidRPr="00252B53">
              <w:t xml:space="preserve">Attempt </w:t>
            </w:r>
          </w:p>
        </w:tc>
        <w:tc>
          <w:tcPr>
            <w:tcW w:w="1050" w:type="pct"/>
            <w:tcBorders>
              <w:top w:val="single" w:sz="4" w:space="0" w:color="auto"/>
              <w:left w:val="single" w:sz="4" w:space="0" w:color="auto"/>
              <w:bottom w:val="single" w:sz="4" w:space="0" w:color="auto"/>
              <w:right w:val="single" w:sz="4" w:space="0" w:color="auto"/>
            </w:tcBorders>
            <w:hideMark/>
          </w:tcPr>
          <w:p w14:paraId="609BD2EA" w14:textId="77777777" w:rsidR="00B93996" w:rsidRPr="00252B53" w:rsidRDefault="00B93996" w:rsidP="00252B53">
            <w:pPr>
              <w:pStyle w:val="SJITableText"/>
            </w:pPr>
            <w:r w:rsidRPr="00252B53">
              <w:t>777.04(1)</w:t>
            </w:r>
          </w:p>
        </w:tc>
        <w:tc>
          <w:tcPr>
            <w:tcW w:w="750" w:type="pct"/>
            <w:tcBorders>
              <w:top w:val="single" w:sz="4" w:space="0" w:color="auto"/>
              <w:left w:val="single" w:sz="4" w:space="0" w:color="auto"/>
              <w:bottom w:val="single" w:sz="4" w:space="0" w:color="auto"/>
              <w:right w:val="single" w:sz="4" w:space="0" w:color="auto"/>
            </w:tcBorders>
          </w:tcPr>
          <w:p w14:paraId="54F745DB" w14:textId="167B79E6" w:rsidR="00B93996" w:rsidRPr="00252B53" w:rsidRDefault="00B93996" w:rsidP="00252B53">
            <w:pPr>
              <w:pStyle w:val="SJITableText"/>
            </w:pPr>
            <w:r w:rsidRPr="00252B53">
              <w:t>5.1</w:t>
            </w:r>
          </w:p>
        </w:tc>
      </w:tr>
    </w:tbl>
    <w:p w14:paraId="43F24388" w14:textId="77777777" w:rsidR="007936AC" w:rsidRPr="007936AC" w:rsidRDefault="007936AC" w:rsidP="00252B53">
      <w:pPr>
        <w:pStyle w:val="SJIComments"/>
      </w:pPr>
      <w:r w:rsidRPr="007936AC">
        <w:t>Comments</w:t>
      </w:r>
    </w:p>
    <w:p w14:paraId="4015A0C8" w14:textId="4FB8C33F" w:rsidR="007936AC" w:rsidRPr="007936AC" w:rsidRDefault="007936AC" w:rsidP="007936AC">
      <w:pPr>
        <w:rPr>
          <w:rFonts w:cs="Calibri"/>
        </w:rPr>
      </w:pPr>
      <w:r w:rsidRPr="007936AC">
        <w:rPr>
          <w:rFonts w:cs="Calibri"/>
        </w:rPr>
        <w:t>The victim in elements #1 and #2 does not have to be one person but cannot be a business entity, which is defined in §934.425</w:t>
      </w:r>
      <w:r w:rsidR="000C6330">
        <w:rPr>
          <w:rFonts w:cs="Calibri"/>
        </w:rPr>
        <w:t>(1)(a)</w:t>
      </w:r>
      <w:r w:rsidRPr="007936AC">
        <w:rPr>
          <w:rFonts w:cs="Calibri"/>
        </w:rPr>
        <w:t>, Fla. Stat., as any form of corporation, partnership, association, cooperative, joint venture, business trust, or sole proprietorship that conducts business in this state.</w:t>
      </w:r>
    </w:p>
    <w:p w14:paraId="18C5F379" w14:textId="08A3C444" w:rsidR="007936AC" w:rsidRPr="007936AC" w:rsidRDefault="007936AC" w:rsidP="007936AC">
      <w:pPr>
        <w:rPr>
          <w:rFonts w:cs="Calibri"/>
        </w:rPr>
      </w:pPr>
      <w:r w:rsidRPr="007936AC">
        <w:rPr>
          <w:rFonts w:cs="Calibri"/>
        </w:rPr>
        <w:t xml:space="preserve">§ 934.425(4), Fla. Stat., contains circumstances under which this crime does not apply. </w:t>
      </w:r>
      <w:r w:rsidR="00D25C46" w:rsidRPr="00226DDF">
        <w:rPr>
          <w:rFonts w:cs="Calibri"/>
        </w:rPr>
        <w:t xml:space="preserve">The courts may </w:t>
      </w:r>
      <w:r w:rsidRPr="007936AC">
        <w:rPr>
          <w:rFonts w:cs="Calibri"/>
        </w:rPr>
        <w:t xml:space="preserve">determine those circumstances should be treated as affirmative defenses. If so, trial judges will need to determine which party has the burden of persuasion and what that burden is (preponderance, clear and convincing, or beyond a reasonable doubt). </w:t>
      </w:r>
    </w:p>
    <w:p w14:paraId="7D1A2220" w14:textId="00E0CF9C" w:rsidR="007936AC" w:rsidRDefault="007936AC" w:rsidP="007936AC">
      <w:pPr>
        <w:rPr>
          <w:rFonts w:cs="Calibri"/>
        </w:rPr>
      </w:pPr>
      <w:r w:rsidRPr="007936AC">
        <w:rPr>
          <w:rFonts w:cs="Calibri"/>
        </w:rPr>
        <w:t>This instruction was adopted on February 21, 2025</w:t>
      </w:r>
      <w:r w:rsidR="00D25C46" w:rsidRPr="00447765">
        <w:rPr>
          <w:rFonts w:cs="Calibri"/>
        </w:rPr>
        <w:t>,</w:t>
      </w:r>
      <w:r w:rsidR="00B93996" w:rsidRPr="00447765">
        <w:rPr>
          <w:rFonts w:cs="Calibri"/>
        </w:rPr>
        <w:t xml:space="preserve"> and amended on </w:t>
      </w:r>
      <w:r w:rsidR="00447765" w:rsidRPr="00447765">
        <w:rPr>
          <w:rFonts w:cs="Calibri"/>
        </w:rPr>
        <w:t>March 20, 2026</w:t>
      </w:r>
      <w:r w:rsidRPr="007936AC">
        <w:rPr>
          <w:rFonts w:cs="Calibri"/>
        </w:rPr>
        <w:t xml:space="preserve">. </w:t>
      </w:r>
    </w:p>
    <w:p w14:paraId="0B4E50FB" w14:textId="77777777" w:rsidR="00B93996" w:rsidRDefault="00B93996" w:rsidP="007936AC">
      <w:pPr>
        <w:rPr>
          <w:rFonts w:cs="Calibri"/>
        </w:rPr>
      </w:pPr>
    </w:p>
    <w:sectPr w:rsidR="00B93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316EA4B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36D1459"/>
    <w:multiLevelType w:val="multilevel"/>
    <w:tmpl w:val="4E8E14B2"/>
    <w:lvl w:ilvl="0">
      <w:start w:val="1"/>
      <w:numFmt w:val="decimal"/>
      <w:lvlText w:val="%1."/>
      <w:lvlJc w:val="left"/>
      <w:pPr>
        <w:tabs>
          <w:tab w:val="num" w:pos="1260"/>
        </w:tabs>
        <w:ind w:left="1260" w:hanging="720"/>
      </w:pPr>
      <w:rPr>
        <w:rFonts w:ascii="Bookman Old Style" w:hAnsi="Bookman Old Style" w:cs="Times New Roman" w:hint="default"/>
        <w:b/>
        <w:bCs/>
        <w:sz w:val="22"/>
        <w:szCs w:val="22"/>
        <w:u w:val="none"/>
      </w:rPr>
    </w:lvl>
    <w:lvl w:ilvl="1">
      <w:start w:val="1"/>
      <w:numFmt w:val="lowerLetter"/>
      <w:lvlText w:val="%2."/>
      <w:lvlJc w:val="left"/>
      <w:pPr>
        <w:tabs>
          <w:tab w:val="num" w:pos="1440"/>
        </w:tabs>
        <w:ind w:left="1440" w:hanging="360"/>
      </w:pPr>
      <w:rPr>
        <w:rFonts w:cs="Times New Roman" w:hint="default"/>
        <w:b/>
        <w:bCs/>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b/>
        <w:bCs/>
        <w:i w:val="0"/>
        <w:iCs w:val="0"/>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508248407">
    <w:abstractNumId w:val="1"/>
  </w:num>
  <w:num w:numId="2" w16cid:durableId="1745181486">
    <w:abstractNumId w:val="0"/>
  </w:num>
  <w:num w:numId="3" w16cid:durableId="110434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AC"/>
    <w:rsid w:val="000A6118"/>
    <w:rsid w:val="000C6330"/>
    <w:rsid w:val="00226DDF"/>
    <w:rsid w:val="00252B53"/>
    <w:rsid w:val="002D58B5"/>
    <w:rsid w:val="00424AFE"/>
    <w:rsid w:val="00447765"/>
    <w:rsid w:val="00674C44"/>
    <w:rsid w:val="007936AC"/>
    <w:rsid w:val="008B7F90"/>
    <w:rsid w:val="00982075"/>
    <w:rsid w:val="00A61CCE"/>
    <w:rsid w:val="00B20FFD"/>
    <w:rsid w:val="00B93996"/>
    <w:rsid w:val="00BC4AD4"/>
    <w:rsid w:val="00BE4491"/>
    <w:rsid w:val="00C358B8"/>
    <w:rsid w:val="00D25C46"/>
    <w:rsid w:val="00E258D0"/>
    <w:rsid w:val="00E337F2"/>
    <w:rsid w:val="00FC620F"/>
    <w:rsid w:val="00FD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FA3E"/>
  <w15:chartTrackingRefBased/>
  <w15:docId w15:val="{B5A44A7C-8E53-4590-BC46-B9F9F907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D4"/>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BC4AD4"/>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BC4AD4"/>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BC4AD4"/>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BC4AD4"/>
    <w:pPr>
      <w:outlineLvl w:val="3"/>
    </w:pPr>
    <w:rPr>
      <w:rFonts w:cstheme="majorBidi"/>
    </w:rPr>
  </w:style>
  <w:style w:type="paragraph" w:styleId="Heading5">
    <w:name w:val="heading 5"/>
    <w:basedOn w:val="Normal"/>
    <w:next w:val="Normal"/>
    <w:link w:val="Heading5Char"/>
    <w:uiPriority w:val="9"/>
    <w:qFormat/>
    <w:rsid w:val="00BC4AD4"/>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BC4AD4"/>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BC4AD4"/>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BC4AD4"/>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BC4AD4"/>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D4"/>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BC4AD4"/>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BC4AD4"/>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BC4AD4"/>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BC4AD4"/>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BC4AD4"/>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BC4AD4"/>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BC4AD4"/>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BC4AD4"/>
    <w:rPr>
      <w:rFonts w:ascii="Arial" w:eastAsiaTheme="majorEastAsia" w:hAnsi="Arial" w:cs="Arial"/>
      <w:color w:val="000000"/>
    </w:rPr>
  </w:style>
  <w:style w:type="paragraph" w:styleId="Title">
    <w:name w:val="Title"/>
    <w:basedOn w:val="NoSpacing"/>
    <w:next w:val="Normal"/>
    <w:link w:val="TitleChar"/>
    <w:uiPriority w:val="10"/>
    <w:qFormat/>
    <w:rsid w:val="00BC4AD4"/>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BC4AD4"/>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BC4AD4"/>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BC4AD4"/>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BC4A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AD4"/>
    <w:rPr>
      <w:rFonts w:ascii="Bookman Old Style" w:hAnsi="Bookman Old Style"/>
      <w:i/>
      <w:iCs/>
      <w:color w:val="404040" w:themeColor="text1" w:themeTint="BF"/>
    </w:rPr>
  </w:style>
  <w:style w:type="paragraph" w:styleId="ListParagraph">
    <w:name w:val="List Paragraph"/>
    <w:basedOn w:val="Normal"/>
    <w:uiPriority w:val="34"/>
    <w:qFormat/>
    <w:rsid w:val="00BC4AD4"/>
    <w:pPr>
      <w:ind w:left="720"/>
    </w:pPr>
  </w:style>
  <w:style w:type="character" w:styleId="IntenseEmphasis">
    <w:name w:val="Intense Emphasis"/>
    <w:basedOn w:val="DefaultParagraphFont"/>
    <w:uiPriority w:val="21"/>
    <w:qFormat/>
    <w:rsid w:val="007936AC"/>
    <w:rPr>
      <w:i/>
      <w:iCs/>
      <w:color w:val="156082" w:themeColor="accent1"/>
    </w:rPr>
  </w:style>
  <w:style w:type="paragraph" w:styleId="IntenseQuote">
    <w:name w:val="Intense Quote"/>
    <w:basedOn w:val="Normal"/>
    <w:next w:val="Normal"/>
    <w:link w:val="IntenseQuoteChar"/>
    <w:uiPriority w:val="30"/>
    <w:qFormat/>
    <w:rsid w:val="00BC4AD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C4AD4"/>
    <w:rPr>
      <w:rFonts w:ascii="Bookman Old Style" w:hAnsi="Bookman Old Style"/>
      <w:i/>
      <w:iCs/>
      <w:color w:val="156082" w:themeColor="accent1"/>
    </w:rPr>
  </w:style>
  <w:style w:type="character" w:styleId="IntenseReference">
    <w:name w:val="Intense Reference"/>
    <w:basedOn w:val="DefaultParagraphFont"/>
    <w:uiPriority w:val="32"/>
    <w:qFormat/>
    <w:rsid w:val="007936AC"/>
    <w:rPr>
      <w:b/>
      <w:bCs/>
      <w:smallCaps/>
      <w:color w:val="156082" w:themeColor="accent1"/>
      <w:spacing w:val="5"/>
    </w:rPr>
  </w:style>
  <w:style w:type="table" w:customStyle="1" w:styleId="TableGrid1">
    <w:name w:val="Table Grid1"/>
    <w:basedOn w:val="TableNormal"/>
    <w:uiPriority w:val="99"/>
    <w:rsid w:val="00B93996"/>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paragraph" w:customStyle="1" w:styleId="SJIlist1">
    <w:name w:val="SJI list 1"/>
    <w:basedOn w:val="Normal"/>
    <w:qFormat/>
    <w:rsid w:val="00BC4AD4"/>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BC4AD4"/>
    <w:rPr>
      <w:rFonts w:cs="Times New Roman"/>
    </w:rPr>
  </w:style>
  <w:style w:type="paragraph" w:customStyle="1" w:styleId="SJIStatuteinTitle">
    <w:name w:val="SJI Statute in Title"/>
    <w:basedOn w:val="Normal"/>
    <w:qFormat/>
    <w:rsid w:val="00BC4AD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C4AD4"/>
    <w:pPr>
      <w:tabs>
        <w:tab w:val="left" w:pos="720"/>
      </w:tabs>
      <w:suppressAutoHyphens/>
      <w:spacing w:after="0"/>
    </w:pPr>
    <w:rPr>
      <w:rFonts w:cs="Times New Roman"/>
      <w:i/>
      <w:iCs/>
      <w:szCs w:val="24"/>
    </w:rPr>
  </w:style>
  <w:style w:type="paragraph" w:customStyle="1" w:styleId="SJITableText">
    <w:name w:val="SJI Table Text"/>
    <w:basedOn w:val="Normal"/>
    <w:qFormat/>
    <w:rsid w:val="00BC4AD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BC4AD4"/>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BC4AD4"/>
    <w:pPr>
      <w:spacing w:before="220"/>
      <w:ind w:firstLine="0"/>
      <w:jc w:val="center"/>
    </w:pPr>
    <w:rPr>
      <w:rFonts w:cs="Courier New"/>
      <w:b/>
    </w:rPr>
  </w:style>
  <w:style w:type="paragraph" w:customStyle="1" w:styleId="SJIInstructionlist1">
    <w:name w:val="SJI Instruction list 1"/>
    <w:basedOn w:val="Normal"/>
    <w:qFormat/>
    <w:rsid w:val="00BC4AD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C4AD4"/>
    <w:pPr>
      <w:numPr>
        <w:numId w:val="3"/>
      </w:numPr>
    </w:pPr>
    <w:rPr>
      <w:rFonts w:cs="Times New Roman"/>
    </w:rPr>
  </w:style>
  <w:style w:type="paragraph" w:customStyle="1" w:styleId="SJITableNotation">
    <w:name w:val="SJI Table Notation"/>
    <w:basedOn w:val="SJITableText"/>
    <w:qFormat/>
    <w:rsid w:val="00BC4AD4"/>
    <w:pPr>
      <w:spacing w:before="120" w:after="240"/>
    </w:pPr>
  </w:style>
  <w:style w:type="character" w:customStyle="1" w:styleId="SJIBold">
    <w:name w:val="SJI Bold"/>
    <w:uiPriority w:val="1"/>
    <w:qFormat/>
    <w:rsid w:val="00BC4AD4"/>
    <w:rPr>
      <w:b/>
    </w:rPr>
  </w:style>
  <w:style w:type="paragraph" w:styleId="Caption">
    <w:name w:val="caption"/>
    <w:basedOn w:val="Normal"/>
    <w:next w:val="Normal"/>
    <w:uiPriority w:val="35"/>
    <w:semiHidden/>
    <w:unhideWhenUsed/>
    <w:qFormat/>
    <w:rsid w:val="00BC4AD4"/>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BC4AD4"/>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BC4AD4"/>
    <w:pPr>
      <w:spacing w:after="120"/>
    </w:pPr>
    <w:rPr>
      <w:rFonts w:cs="Times New Roman"/>
    </w:rPr>
  </w:style>
  <w:style w:type="character" w:customStyle="1" w:styleId="BodyTextChar">
    <w:name w:val="Body Text Char"/>
    <w:basedOn w:val="DefaultParagraphFont"/>
    <w:link w:val="BodyText"/>
    <w:uiPriority w:val="1"/>
    <w:semiHidden/>
    <w:rsid w:val="00BC4AD4"/>
    <w:rPr>
      <w:rFonts w:ascii="Bookman Old Style" w:hAnsi="Bookman Old Style" w:cs="Times New Roman"/>
      <w:color w:val="000000"/>
    </w:rPr>
  </w:style>
  <w:style w:type="character" w:styleId="Strong">
    <w:name w:val="Strong"/>
    <w:basedOn w:val="DefaultParagraphFont"/>
    <w:uiPriority w:val="22"/>
    <w:qFormat/>
    <w:rsid w:val="00BC4AD4"/>
    <w:rPr>
      <w:rFonts w:cs="Times New Roman"/>
      <w:b/>
      <w:bCs/>
    </w:rPr>
  </w:style>
  <w:style w:type="character" w:styleId="Emphasis">
    <w:name w:val="Emphasis"/>
    <w:basedOn w:val="DefaultParagraphFont"/>
    <w:uiPriority w:val="20"/>
    <w:qFormat/>
    <w:rsid w:val="00BC4AD4"/>
    <w:rPr>
      <w:i/>
      <w:iCs/>
    </w:rPr>
  </w:style>
  <w:style w:type="character" w:customStyle="1" w:styleId="NoSpacingChar">
    <w:name w:val="No Spacing Char"/>
    <w:basedOn w:val="DefaultParagraphFont"/>
    <w:link w:val="NoSpacing"/>
    <w:uiPriority w:val="1"/>
    <w:locked/>
    <w:rsid w:val="00BC4AD4"/>
    <w:rPr>
      <w:rFonts w:ascii="Bookman Old Style" w:hAnsi="Bookman Old Style"/>
      <w:color w:val="000000"/>
    </w:rPr>
  </w:style>
  <w:style w:type="paragraph" w:styleId="TOCHeading">
    <w:name w:val="TOC Heading"/>
    <w:basedOn w:val="Heading1"/>
    <w:next w:val="Normal"/>
    <w:uiPriority w:val="39"/>
    <w:semiHidden/>
    <w:unhideWhenUsed/>
    <w:qFormat/>
    <w:rsid w:val="00BC4AD4"/>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2026-03-22T15:17:00Z</dcterms:created>
  <dcterms:modified xsi:type="dcterms:W3CDTF">2026-03-25T16:49:00Z</dcterms:modified>
</cp:coreProperties>
</file>