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C4780" w14:textId="42EA0386" w:rsidR="004E2C0F" w:rsidRDefault="00882399" w:rsidP="00D11501">
      <w:pPr>
        <w:pStyle w:val="Heading3"/>
        <w:rPr>
          <w:rFonts w:eastAsia="Yu Gothic Light"/>
        </w:rPr>
      </w:pPr>
      <w:bookmarkStart w:id="0" w:name="_Toc109650373"/>
      <w:bookmarkStart w:id="1" w:name="_Toc110239905"/>
      <w:bookmarkStart w:id="2" w:name="_Toc110584801"/>
      <w:bookmarkStart w:id="3" w:name="_Toc203464360"/>
      <w:bookmarkStart w:id="4" w:name="_Hlk205712042"/>
      <w:r>
        <w:rPr>
          <w:rFonts w:eastAsia="Yu Gothic Light"/>
        </w:rPr>
        <w:t>8</w:t>
      </w:r>
      <w:r w:rsidR="004E2C0F">
        <w:rPr>
          <w:rFonts w:eastAsia="Yu Gothic Light"/>
        </w:rPr>
        <w:t>.22(</w:t>
      </w:r>
      <w:r w:rsidR="008656A8">
        <w:rPr>
          <w:rFonts w:eastAsia="Yu Gothic Light"/>
          <w:caps w:val="0"/>
        </w:rPr>
        <w:t>a</w:t>
      </w:r>
      <w:r w:rsidR="004E2C0F">
        <w:rPr>
          <w:rFonts w:eastAsia="Yu Gothic Light"/>
        </w:rPr>
        <w:t>) THREAT TO [KILL] [DO SERIOUS BODILY HARM TO] A [PUBLIC OFFICIAL] [FAMILY MEMBER OF A PUBLIC OFFICIAL]</w:t>
      </w:r>
      <w:bookmarkEnd w:id="0"/>
      <w:bookmarkEnd w:id="1"/>
      <w:bookmarkEnd w:id="2"/>
      <w:bookmarkEnd w:id="3"/>
    </w:p>
    <w:p w14:paraId="443FCAF2" w14:textId="77777777" w:rsidR="004E2C0F" w:rsidRDefault="004E2C0F" w:rsidP="00D11501">
      <w:pPr>
        <w:pStyle w:val="SJIStatuteinTitle"/>
      </w:pPr>
      <w:r>
        <w:t>§ 836.12(2), Fla. Stat.</w:t>
      </w:r>
    </w:p>
    <w:p w14:paraId="5E5990C3" w14:textId="77777777" w:rsidR="004E2C0F" w:rsidRPr="00436504" w:rsidRDefault="004E2C0F" w:rsidP="004E2C0F">
      <w:pPr>
        <w:tabs>
          <w:tab w:val="left" w:pos="720"/>
        </w:tabs>
        <w:suppressAutoHyphens/>
        <w:rPr>
          <w:rFonts w:cs="Times New Roman"/>
          <w:b/>
          <w:bCs/>
        </w:rPr>
      </w:pPr>
      <w:r w:rsidRPr="00436504">
        <w:rPr>
          <w:rFonts w:cs="Times New Roman"/>
          <w:b/>
          <w:bCs/>
        </w:rPr>
        <w:t>To prove the crime of Threat to [Kill] [Do Serious Bodily Harm to] a [Public Official] [Family Member of a Public Official], the State must prove the following three elements beyond a reasonable doubt:</w:t>
      </w:r>
    </w:p>
    <w:p w14:paraId="2D13636E" w14:textId="77777777" w:rsidR="004E2C0F" w:rsidRPr="00436504" w:rsidRDefault="004E2C0F" w:rsidP="004E2C0F">
      <w:pPr>
        <w:numPr>
          <w:ilvl w:val="0"/>
          <w:numId w:val="1"/>
        </w:numPr>
        <w:ind w:left="1296" w:hanging="576"/>
        <w:rPr>
          <w:rFonts w:cs="Times New Roman"/>
        </w:rPr>
      </w:pPr>
      <w:r w:rsidRPr="00436504">
        <w:rPr>
          <w:rFonts w:cs="Times New Roman"/>
        </w:rPr>
        <w:t xml:space="preserve">(Defendant) </w:t>
      </w:r>
      <w:r w:rsidRPr="00436504">
        <w:rPr>
          <w:rFonts w:cs="Times New Roman"/>
          <w:b/>
          <w:bCs/>
        </w:rPr>
        <w:t xml:space="preserve">knowingly and willfully threatened to [kill] [do serious bodily harm to] </w:t>
      </w:r>
      <w:r w:rsidRPr="00436504">
        <w:rPr>
          <w:rFonts w:cs="Times New Roman"/>
        </w:rPr>
        <w:t>(person receiving threat).</w:t>
      </w:r>
    </w:p>
    <w:p w14:paraId="5BDA3D97" w14:textId="54E21FC3" w:rsidR="004E2C0F" w:rsidRPr="00436504" w:rsidRDefault="004E2C0F" w:rsidP="004E2C0F">
      <w:pPr>
        <w:numPr>
          <w:ilvl w:val="0"/>
          <w:numId w:val="1"/>
        </w:numPr>
        <w:ind w:left="1296" w:hanging="576"/>
        <w:rPr>
          <w:rFonts w:cs="Times New Roman"/>
          <w:b/>
          <w:bCs/>
        </w:rPr>
      </w:pPr>
      <w:r w:rsidRPr="00436504">
        <w:rPr>
          <w:rFonts w:cs="Times New Roman"/>
          <w:b/>
          <w:bCs/>
        </w:rPr>
        <w:t>At the time,</w:t>
      </w:r>
      <w:r w:rsidRPr="00436504">
        <w:rPr>
          <w:rFonts w:cs="Times New Roman"/>
        </w:rPr>
        <w:t xml:space="preserve"> (person receiving threat) </w:t>
      </w:r>
      <w:r w:rsidRPr="00436504">
        <w:rPr>
          <w:rFonts w:cs="Times New Roman"/>
          <w:b/>
          <w:bCs/>
        </w:rPr>
        <w:t>was a[n] [family member of a[n]] [law enforcement officer] [state attorney] [assistant state attorney] [firefighter] [judge] [justice] [judicial assistant] [a clerk of court or clerk personnel] [elected official] [general magistrate] [special magistrate] [child support enforcement hearing officer] [administrative assistant].</w:t>
      </w:r>
    </w:p>
    <w:p w14:paraId="5E79A065" w14:textId="2D334CF8" w:rsidR="004E2C0F" w:rsidRPr="00436504" w:rsidRDefault="00FC60E3" w:rsidP="004E2C0F">
      <w:pPr>
        <w:numPr>
          <w:ilvl w:val="0"/>
          <w:numId w:val="1"/>
        </w:numPr>
        <w:ind w:left="1296" w:hanging="576"/>
        <w:rPr>
          <w:rFonts w:cs="Times New Roman"/>
          <w:b/>
          <w:bCs/>
        </w:rPr>
      </w:pPr>
      <w:r w:rsidRPr="00436504">
        <w:rPr>
          <w:rFonts w:cs="Times New Roman"/>
          <w:b/>
          <w:bCs/>
        </w:rPr>
        <w:t xml:space="preserve">At the time, </w:t>
      </w:r>
      <w:r w:rsidR="004E2C0F" w:rsidRPr="00436504">
        <w:rPr>
          <w:rFonts w:cs="Times New Roman"/>
        </w:rPr>
        <w:t>(</w:t>
      </w:r>
      <w:r w:rsidRPr="00436504">
        <w:rPr>
          <w:rFonts w:cs="Times New Roman"/>
        </w:rPr>
        <w:t>d</w:t>
      </w:r>
      <w:r w:rsidR="004E2C0F" w:rsidRPr="00436504">
        <w:rPr>
          <w:rFonts w:cs="Times New Roman"/>
        </w:rPr>
        <w:t xml:space="preserve">efendant) </w:t>
      </w:r>
      <w:r w:rsidR="004E2C0F" w:rsidRPr="00436504">
        <w:rPr>
          <w:rFonts w:cs="Times New Roman"/>
          <w:b/>
          <w:bCs/>
        </w:rPr>
        <w:t>knew</w:t>
      </w:r>
      <w:r w:rsidR="004E2C0F" w:rsidRPr="00436504">
        <w:rPr>
          <w:rFonts w:cs="Times New Roman"/>
        </w:rPr>
        <w:t xml:space="preserve"> (person receiving threat) </w:t>
      </w:r>
      <w:r w:rsidR="004E2C0F" w:rsidRPr="00436504">
        <w:rPr>
          <w:rFonts w:cs="Times New Roman"/>
          <w:b/>
          <w:bCs/>
        </w:rPr>
        <w:t>was a[n] [family member of a[n]] [law enforcement officer] [state attorney] [assistant state attorney] [firefighter] [judge] [justice] [judicial assistant] [a clerk of court or clerk personnel] [elected official]</w:t>
      </w:r>
      <w:r w:rsidR="004E2C0F" w:rsidRPr="00436504">
        <w:t xml:space="preserve"> </w:t>
      </w:r>
      <w:r w:rsidR="004E2C0F" w:rsidRPr="00436504">
        <w:rPr>
          <w:rFonts w:cs="Times New Roman"/>
          <w:b/>
          <w:bCs/>
        </w:rPr>
        <w:t>[general magistrate] [special magistrate] [child support enforcement hearing officer] [administrative assistant].</w:t>
      </w:r>
    </w:p>
    <w:p w14:paraId="7B0B3B06" w14:textId="77777777" w:rsidR="004E2C0F" w:rsidRDefault="004E2C0F" w:rsidP="00194F46">
      <w:pPr>
        <w:rPr>
          <w:rFonts w:cs="Times New Roman"/>
          <w:b/>
          <w:bCs/>
        </w:rPr>
      </w:pPr>
      <w:r>
        <w:rPr>
          <w:rFonts w:cs="Times New Roman"/>
          <w:b/>
          <w:bCs/>
        </w:rPr>
        <w:t xml:space="preserve">“Willfully” means intentionally and purposely. </w:t>
      </w:r>
    </w:p>
    <w:p w14:paraId="78E44A70" w14:textId="77777777" w:rsidR="004E2C0F" w:rsidRDefault="004E2C0F" w:rsidP="00194F46">
      <w:pPr>
        <w:pStyle w:val="SJITextItalic"/>
      </w:pPr>
      <w:r>
        <w:t>Virginia v. Black, 538 U.S. 343 (2003); Romero v. State, 314 So. 3d 699 (Fla. 3d DCA 2021).</w:t>
      </w:r>
    </w:p>
    <w:p w14:paraId="7D3BCAB6" w14:textId="77777777" w:rsidR="004E2C0F" w:rsidRDefault="004E2C0F" w:rsidP="004E2C0F">
      <w:pPr>
        <w:tabs>
          <w:tab w:val="left" w:pos="720"/>
        </w:tabs>
        <w:suppressAutoHyphens/>
        <w:rPr>
          <w:rFonts w:cs="Times New Roman"/>
          <w:b/>
          <w:bCs/>
        </w:rPr>
      </w:pPr>
      <w:r>
        <w:rPr>
          <w:rFonts w:cs="Times New Roman"/>
          <w:b/>
          <w:bCs/>
        </w:rPr>
        <w:t>“Threatened” means to communicate, by word or act, a serious expression of an intent to commit an act of violence to a particular individual.</w:t>
      </w:r>
    </w:p>
    <w:p w14:paraId="4EA2046C" w14:textId="31929B78" w:rsidR="004E2C0F" w:rsidRPr="00436504" w:rsidRDefault="004E2C0F" w:rsidP="004E2C0F">
      <w:pPr>
        <w:tabs>
          <w:tab w:val="left" w:pos="720"/>
        </w:tabs>
        <w:suppressAutoHyphens/>
        <w:rPr>
          <w:rFonts w:cs="Times New Roman"/>
          <w:b/>
          <w:bCs/>
        </w:rPr>
      </w:pPr>
      <w:r w:rsidRPr="00436504">
        <w:rPr>
          <w:rFonts w:cs="Times New Roman"/>
          <w:b/>
          <w:bCs/>
        </w:rPr>
        <w:t xml:space="preserve">It is not necessary for the State to prove that </w:t>
      </w:r>
      <w:r w:rsidR="00FE04A2" w:rsidRPr="00436504">
        <w:rPr>
          <w:rFonts w:cs="Times New Roman"/>
        </w:rPr>
        <w:t>(</w:t>
      </w:r>
      <w:r w:rsidRPr="00436504">
        <w:rPr>
          <w:rFonts w:cs="Times New Roman"/>
        </w:rPr>
        <w:t>defendant</w:t>
      </w:r>
      <w:r w:rsidR="00FE04A2" w:rsidRPr="00436504">
        <w:rPr>
          <w:rFonts w:cs="Times New Roman"/>
        </w:rPr>
        <w:t>)</w:t>
      </w:r>
      <w:r w:rsidRPr="00436504">
        <w:rPr>
          <w:rFonts w:cs="Times New Roman"/>
        </w:rPr>
        <w:t xml:space="preserve"> </w:t>
      </w:r>
      <w:r w:rsidRPr="00436504">
        <w:rPr>
          <w:rFonts w:cs="Times New Roman"/>
          <w:b/>
          <w:bCs/>
        </w:rPr>
        <w:t xml:space="preserve">intended to </w:t>
      </w:r>
      <w:proofErr w:type="gramStart"/>
      <w:r w:rsidRPr="00436504">
        <w:rPr>
          <w:rFonts w:cs="Times New Roman"/>
          <w:b/>
          <w:bCs/>
        </w:rPr>
        <w:t>actually commit</w:t>
      </w:r>
      <w:proofErr w:type="gramEnd"/>
      <w:r w:rsidRPr="00436504">
        <w:rPr>
          <w:rFonts w:cs="Times New Roman"/>
          <w:b/>
          <w:bCs/>
        </w:rPr>
        <w:t xml:space="preserve"> the threatened act of violence</w:t>
      </w:r>
      <w:r w:rsidR="00B45C5C" w:rsidRPr="00436504">
        <w:rPr>
          <w:rFonts w:cs="Times New Roman"/>
          <w:b/>
          <w:bCs/>
        </w:rPr>
        <w:t>.</w:t>
      </w:r>
    </w:p>
    <w:p w14:paraId="0E1D6CBB" w14:textId="5C8BB91D" w:rsidR="004E2C0F" w:rsidRPr="00436504" w:rsidRDefault="004E2C0F" w:rsidP="00194F46">
      <w:pPr>
        <w:pStyle w:val="SJITextItalic"/>
      </w:pPr>
      <w:r w:rsidRPr="00436504">
        <w:t xml:space="preserve">Give as applicable. </w:t>
      </w:r>
    </w:p>
    <w:p w14:paraId="683057EC" w14:textId="77777777" w:rsidR="004E2C0F" w:rsidRPr="0056382D" w:rsidRDefault="004E2C0F" w:rsidP="004E2C0F">
      <w:pPr>
        <w:tabs>
          <w:tab w:val="left" w:pos="720"/>
        </w:tabs>
        <w:suppressAutoHyphens/>
        <w:rPr>
          <w:rFonts w:cs="Times New Roman"/>
          <w:b/>
          <w:bCs/>
        </w:rPr>
      </w:pPr>
      <w:r w:rsidRPr="0056382D">
        <w:rPr>
          <w:rFonts w:cs="Times New Roman"/>
          <w:b/>
          <w:bCs/>
        </w:rPr>
        <w:t>“Family member” means:</w:t>
      </w:r>
    </w:p>
    <w:p w14:paraId="21A9F7F7" w14:textId="77777777" w:rsidR="004E2C0F" w:rsidRPr="0056382D" w:rsidRDefault="004E2C0F" w:rsidP="004E2C0F">
      <w:pPr>
        <w:numPr>
          <w:ilvl w:val="0"/>
          <w:numId w:val="2"/>
        </w:numPr>
        <w:ind w:left="1296" w:hanging="576"/>
        <w:rPr>
          <w:rFonts w:cs="Times New Roman"/>
          <w:b/>
          <w:bCs/>
        </w:rPr>
      </w:pPr>
      <w:r w:rsidRPr="0056382D">
        <w:rPr>
          <w:rFonts w:cs="Times New Roman"/>
          <w:b/>
          <w:bCs/>
        </w:rPr>
        <w:t>An individual related to another individual by blood or marriage; or</w:t>
      </w:r>
    </w:p>
    <w:p w14:paraId="109A828B" w14:textId="77777777" w:rsidR="004E2C0F" w:rsidRPr="0056382D" w:rsidRDefault="004E2C0F" w:rsidP="004E2C0F">
      <w:pPr>
        <w:numPr>
          <w:ilvl w:val="0"/>
          <w:numId w:val="2"/>
        </w:numPr>
        <w:ind w:left="1296" w:hanging="576"/>
        <w:rPr>
          <w:rFonts w:cs="Times New Roman"/>
          <w:b/>
          <w:bCs/>
        </w:rPr>
      </w:pPr>
      <w:r w:rsidRPr="0056382D">
        <w:rPr>
          <w:rFonts w:cs="Times New Roman"/>
          <w:b/>
          <w:bCs/>
        </w:rPr>
        <w:t>An individual who stands in loco parentis to another individual. “In loco parentis” means in place of a parent.</w:t>
      </w:r>
    </w:p>
    <w:p w14:paraId="0BEA85A8" w14:textId="77777777" w:rsidR="004E2C0F" w:rsidRPr="0056382D" w:rsidRDefault="004E2C0F" w:rsidP="004E2C0F">
      <w:pPr>
        <w:tabs>
          <w:tab w:val="left" w:pos="720"/>
        </w:tabs>
        <w:suppressAutoHyphens/>
        <w:rPr>
          <w:rFonts w:cs="Times New Roman"/>
          <w:bCs/>
        </w:rPr>
      </w:pPr>
      <w:r w:rsidRPr="0056382D">
        <w:rPr>
          <w:rFonts w:cs="Times New Roman"/>
          <w:b/>
          <w:bCs/>
        </w:rPr>
        <w:t>“Law enforcement officer” means any person who is elected, appointed, or employed full time by any municipality or the state or any political subdivision thereof; who is vested with authority to bear arms and make arrests; and whose primary responsibility is the prevention and detection of crime or the enforcement of the penal, criminal, traffic, or highway laws of the state.</w:t>
      </w:r>
    </w:p>
    <w:p w14:paraId="3F162AD7" w14:textId="77777777" w:rsidR="004E2C0F" w:rsidRPr="0056382D" w:rsidRDefault="004E2C0F" w:rsidP="00194F46">
      <w:pPr>
        <w:pStyle w:val="SJITextItalic"/>
      </w:pPr>
      <w:r w:rsidRPr="0056382D">
        <w:lastRenderedPageBreak/>
        <w:t xml:space="preserve">Definitions for part-time and auxiliary law enforcement officers can be found </w:t>
      </w:r>
      <w:proofErr w:type="gramStart"/>
      <w:r w:rsidRPr="0056382D">
        <w:t>in    §</w:t>
      </w:r>
      <w:proofErr w:type="gramEnd"/>
      <w:r w:rsidRPr="0056382D">
        <w:t xml:space="preserve"> 943.10, Fla. Stat.</w:t>
      </w:r>
    </w:p>
    <w:p w14:paraId="50764568" w14:textId="77777777" w:rsidR="004E2C0F" w:rsidRPr="0056382D" w:rsidRDefault="004E2C0F" w:rsidP="004E2C0F">
      <w:pPr>
        <w:tabs>
          <w:tab w:val="left" w:pos="720"/>
        </w:tabs>
        <w:suppressAutoHyphens/>
        <w:rPr>
          <w:rFonts w:cs="Times New Roman"/>
          <w:bCs/>
        </w:rPr>
      </w:pPr>
      <w:r w:rsidRPr="0056382D">
        <w:rPr>
          <w:rFonts w:cs="Times New Roman"/>
          <w:b/>
          <w:bCs/>
        </w:rPr>
        <w:t>“Law enforcement officer” includes all certified supervisory and command personnel whose duties include, in whole or in part, the supervision, training, guidance, and management responsibilities of full-time law enforcement officers, part-time law enforcement officers, or auxiliary law enforcement officers but does not include support personnel employed by the employing agency.</w:t>
      </w:r>
    </w:p>
    <w:p w14:paraId="645195AC" w14:textId="3C0B1E9A" w:rsidR="004E2C0F" w:rsidRPr="0056382D" w:rsidRDefault="004E2C0F" w:rsidP="00194F46">
      <w:pPr>
        <w:pStyle w:val="SJITextItalic"/>
      </w:pPr>
      <w:r w:rsidRPr="0056382D">
        <w:t>Federal law enforcement officer.</w:t>
      </w:r>
    </w:p>
    <w:p w14:paraId="28E7E118" w14:textId="77777777" w:rsidR="004E2C0F" w:rsidRPr="0056382D" w:rsidRDefault="004E2C0F" w:rsidP="004E2C0F">
      <w:pPr>
        <w:tabs>
          <w:tab w:val="left" w:pos="720"/>
        </w:tabs>
        <w:suppressAutoHyphens/>
        <w:rPr>
          <w:rFonts w:cs="Times New Roman"/>
          <w:bCs/>
        </w:rPr>
      </w:pPr>
      <w:r w:rsidRPr="0056382D">
        <w:rPr>
          <w:rFonts w:cs="Times New Roman"/>
          <w:b/>
          <w:bCs/>
        </w:rPr>
        <w:t>“Law enforcement officer” includes a person who is employed by the Federal Government as a full-time law enforcement officer as defined by federal law, who is empowered to effect an arrest for violations of the United States Code, who is authorized to carry firearms in the performance of her or his duties, and who has received law enforcement training equivalent to that prescribed for state law enforcement officers.</w:t>
      </w:r>
    </w:p>
    <w:p w14:paraId="084660BC" w14:textId="77777777" w:rsidR="00FE04A2" w:rsidRPr="00436504" w:rsidRDefault="00FE04A2" w:rsidP="00FE04A2">
      <w:pPr>
        <w:tabs>
          <w:tab w:val="left" w:pos="720"/>
        </w:tabs>
        <w:suppressAutoHyphens/>
        <w:rPr>
          <w:rFonts w:cs="Times New Roman"/>
          <w:b/>
          <w:bCs/>
        </w:rPr>
      </w:pPr>
      <w:r w:rsidRPr="00436504">
        <w:rPr>
          <w:rFonts w:cs="Times New Roman"/>
          <w:b/>
          <w:bCs/>
        </w:rPr>
        <w:t>“Administrative assistant” means a court employee assigned to the office of a specific general magistrate, special magistrate, or child support enforcement hearing officer.</w:t>
      </w:r>
    </w:p>
    <w:p w14:paraId="0EF9D249" w14:textId="77777777" w:rsidR="00FE04A2" w:rsidRPr="00436504" w:rsidRDefault="00FE04A2" w:rsidP="00FE04A2">
      <w:pPr>
        <w:tabs>
          <w:tab w:val="left" w:pos="720"/>
        </w:tabs>
        <w:suppressAutoHyphens/>
        <w:rPr>
          <w:rFonts w:cs="Times New Roman"/>
          <w:b/>
          <w:bCs/>
        </w:rPr>
      </w:pPr>
      <w:r w:rsidRPr="00436504">
        <w:rPr>
          <w:rFonts w:cs="Times New Roman"/>
          <w:b/>
          <w:bCs/>
        </w:rPr>
        <w:t>“Judicial assistant” means a court employee assigned to the office of a specific judge or justice responsible for providing administrative, secretarial, and clerical support to the assigned judge or justice.</w:t>
      </w:r>
    </w:p>
    <w:p w14:paraId="0E11FFB0" w14:textId="77777777" w:rsidR="004E2C0F" w:rsidRDefault="004E2C0F" w:rsidP="004E2C0F">
      <w:pPr>
        <w:tabs>
          <w:tab w:val="left" w:pos="720"/>
        </w:tabs>
        <w:suppressAutoHyphens/>
        <w:rPr>
          <w:rFonts w:cs="Times New Roman"/>
          <w:b/>
          <w:bCs/>
        </w:rPr>
      </w:pPr>
      <w:r>
        <w:rPr>
          <w:rFonts w:cs="Times New Roman"/>
          <w:b/>
          <w:bCs/>
        </w:rPr>
        <w:t>“Firefighter” means an individual who holds a current and valid Firefighter Certificate of Compliance or Special Certificate of Compliance issued by the Division of State Fire Marshal under Florida law.</w:t>
      </w:r>
    </w:p>
    <w:p w14:paraId="50ABB32D" w14:textId="77777777" w:rsidR="004E2C0F" w:rsidRDefault="004E2C0F" w:rsidP="00194F46">
      <w:pPr>
        <w:pStyle w:val="SJITextItalic"/>
      </w:pPr>
      <w:r>
        <w:t>§ 836.12, Fla. Stat. The section below can be used if a prior violation is not treated as a recidivist fact that can be proven to a judge at sentencing. If the prior violation is an element of the felony crime, it is error to inform the jury of the prior violation until the verdict on the underlying crime is rendered. Therefore, if the information or indictment contains an allegation of a prior violation, that allegation must not be read to the jury before the verdict and the information or indictment must not be given to the jurors before the verdict. If the defendant is found guilty, the historical fact of a prior violation shall be determined separately by the jury in a bifurcated proceeding. See State v. Harbaugh, 754 So. 2d 691 (Fla. 2000).</w:t>
      </w:r>
    </w:p>
    <w:p w14:paraId="66059AD7" w14:textId="77777777" w:rsidR="004E2C0F" w:rsidRDefault="004E2C0F" w:rsidP="004E2C0F">
      <w:pPr>
        <w:suppressAutoHyphens/>
        <w:rPr>
          <w:rFonts w:cs="Times New Roman"/>
          <w:b/>
          <w:bCs/>
          <w:iCs/>
        </w:rPr>
      </w:pPr>
      <w:r>
        <w:rPr>
          <w:rFonts w:cs="Times New Roman"/>
          <w:b/>
          <w:bCs/>
        </w:rPr>
        <w:t xml:space="preserve">Now that you have found the defendant guilty of Threat to [Kill] [Do Serious Bodily Harm to] a [Public Official] [Family Member of a Public Official], you must further determine whether the State has proven beyond a reasonable doubt that </w:t>
      </w:r>
      <w:r>
        <w:rPr>
          <w:rFonts w:cs="Times New Roman"/>
          <w:b/>
          <w:bCs/>
          <w:iCs/>
        </w:rPr>
        <w:t xml:space="preserve">the defendant was previously convicted of the same crime. </w:t>
      </w:r>
    </w:p>
    <w:p w14:paraId="00120D9D" w14:textId="50772CF3" w:rsidR="008656A8" w:rsidRDefault="004E2C0F" w:rsidP="004E2C0F">
      <w:pPr>
        <w:suppressAutoHyphens/>
        <w:rPr>
          <w:rFonts w:cs="Times New Roman"/>
          <w:b/>
          <w:bCs/>
        </w:rPr>
      </w:pPr>
      <w:r>
        <w:rPr>
          <w:rFonts w:cs="Times New Roman"/>
          <w:b/>
          <w:bCs/>
        </w:rPr>
        <w:t>“Conviction” means a determination of guilt that is the result of a plea or a trial, regardless of whether adjudication is withheld or a plea of nolo contendere is entered.</w:t>
      </w:r>
    </w:p>
    <w:p w14:paraId="0704370E" w14:textId="77777777" w:rsidR="008656A8" w:rsidRDefault="008656A8">
      <w:pPr>
        <w:spacing w:after="160"/>
        <w:ind w:firstLine="0"/>
        <w:rPr>
          <w:rFonts w:cs="Times New Roman"/>
          <w:b/>
          <w:bCs/>
        </w:rPr>
      </w:pPr>
      <w:r>
        <w:rPr>
          <w:rFonts w:cs="Times New Roman"/>
          <w:b/>
          <w:bCs/>
        </w:rPr>
        <w:br w:type="page"/>
      </w:r>
    </w:p>
    <w:p w14:paraId="2B86D71F" w14:textId="11A1DD87" w:rsidR="004E2C0F" w:rsidRDefault="004E2C0F" w:rsidP="008656A8">
      <w:pPr>
        <w:pStyle w:val="SJIComments"/>
      </w:pPr>
      <w:r>
        <w:lastRenderedPageBreak/>
        <w:t>Lesser Included Offenses</w:t>
      </w:r>
    </w:p>
    <w:p w14:paraId="6EF79467" w14:textId="77777777" w:rsidR="004E2C0F" w:rsidRDefault="004E2C0F" w:rsidP="00194F46">
      <w:pPr>
        <w:pStyle w:val="Heading4"/>
        <w:rPr>
          <w:rFonts w:eastAsia="Yu Mincho"/>
        </w:rPr>
      </w:pPr>
      <w:bookmarkStart w:id="5" w:name="_Toc109650374"/>
      <w:r>
        <w:rPr>
          <w:rFonts w:eastAsia="Yu Mincho"/>
        </w:rPr>
        <w:t>THREAT TO [KILL] [DO SERIOUS BODILY HARM TO] A [PUBLIC OFFICIAL] [FAMILY MEMBER OF A PUBLIC OFFICIAL] — 836.12(2)</w:t>
      </w:r>
      <w:bookmarkEnd w:id="5"/>
    </w:p>
    <w:tbl>
      <w:tblPr>
        <w:tblStyle w:val="TableGrid1"/>
        <w:tblW w:w="5000" w:type="pct"/>
        <w:tblInd w:w="0" w:type="dxa"/>
        <w:tblLook w:val="0620" w:firstRow="1" w:lastRow="0" w:firstColumn="0" w:lastColumn="0" w:noHBand="1" w:noVBand="1"/>
      </w:tblPr>
      <w:tblGrid>
        <w:gridCol w:w="2154"/>
        <w:gridCol w:w="4232"/>
        <w:gridCol w:w="1709"/>
        <w:gridCol w:w="1255"/>
      </w:tblGrid>
      <w:tr w:rsidR="004E2C0F" w14:paraId="4DA98618" w14:textId="77777777" w:rsidTr="00194F46">
        <w:trPr>
          <w:cnfStyle w:val="100000000000" w:firstRow="1" w:lastRow="0" w:firstColumn="0" w:lastColumn="0" w:oddVBand="0" w:evenVBand="0" w:oddHBand="0" w:evenHBand="0" w:firstRowFirstColumn="0" w:firstRowLastColumn="0" w:lastRowFirstColumn="0" w:lastRowLastColumn="0"/>
        </w:trPr>
        <w:tc>
          <w:tcPr>
            <w:tcW w:w="1152" w:type="pct"/>
            <w:tcBorders>
              <w:top w:val="single" w:sz="4" w:space="0" w:color="auto"/>
              <w:left w:val="single" w:sz="4" w:space="0" w:color="auto"/>
              <w:bottom w:val="single" w:sz="4" w:space="0" w:color="auto"/>
              <w:right w:val="single" w:sz="4" w:space="0" w:color="auto"/>
            </w:tcBorders>
            <w:hideMark/>
          </w:tcPr>
          <w:p w14:paraId="2B0532F3" w14:textId="77777777" w:rsidR="004E2C0F" w:rsidRDefault="004E2C0F" w:rsidP="00194F46">
            <w:pPr>
              <w:pStyle w:val="SJITableText"/>
            </w:pPr>
            <w:r>
              <w:t>CATEGORY ONE</w:t>
            </w:r>
          </w:p>
        </w:tc>
        <w:tc>
          <w:tcPr>
            <w:tcW w:w="2263" w:type="pct"/>
            <w:tcBorders>
              <w:top w:val="single" w:sz="4" w:space="0" w:color="auto"/>
              <w:left w:val="single" w:sz="4" w:space="0" w:color="auto"/>
              <w:bottom w:val="single" w:sz="4" w:space="0" w:color="auto"/>
              <w:right w:val="single" w:sz="4" w:space="0" w:color="auto"/>
            </w:tcBorders>
            <w:hideMark/>
          </w:tcPr>
          <w:p w14:paraId="01804DC0" w14:textId="77777777" w:rsidR="004E2C0F" w:rsidRDefault="004E2C0F" w:rsidP="00194F46">
            <w:pPr>
              <w:pStyle w:val="SJITableText"/>
            </w:pPr>
            <w:r>
              <w:t>CATEGORY TWO</w:t>
            </w:r>
          </w:p>
        </w:tc>
        <w:tc>
          <w:tcPr>
            <w:tcW w:w="914" w:type="pct"/>
            <w:tcBorders>
              <w:top w:val="single" w:sz="4" w:space="0" w:color="auto"/>
              <w:left w:val="single" w:sz="4" w:space="0" w:color="auto"/>
              <w:bottom w:val="single" w:sz="4" w:space="0" w:color="auto"/>
              <w:right w:val="single" w:sz="4" w:space="0" w:color="auto"/>
            </w:tcBorders>
            <w:hideMark/>
          </w:tcPr>
          <w:p w14:paraId="32337E71" w14:textId="77777777" w:rsidR="004E2C0F" w:rsidRDefault="004E2C0F" w:rsidP="00194F46">
            <w:pPr>
              <w:pStyle w:val="SJITableText"/>
            </w:pPr>
            <w:r>
              <w:t>FLA. STAT.</w:t>
            </w:r>
          </w:p>
        </w:tc>
        <w:tc>
          <w:tcPr>
            <w:tcW w:w="671" w:type="pct"/>
            <w:tcBorders>
              <w:top w:val="single" w:sz="4" w:space="0" w:color="auto"/>
              <w:left w:val="single" w:sz="4" w:space="0" w:color="auto"/>
              <w:bottom w:val="single" w:sz="4" w:space="0" w:color="auto"/>
              <w:right w:val="single" w:sz="4" w:space="0" w:color="auto"/>
            </w:tcBorders>
            <w:hideMark/>
          </w:tcPr>
          <w:p w14:paraId="7C8677A9" w14:textId="77777777" w:rsidR="004E2C0F" w:rsidRDefault="004E2C0F" w:rsidP="00194F46">
            <w:pPr>
              <w:pStyle w:val="SJITableText"/>
            </w:pPr>
            <w:r>
              <w:t>INS. NO.</w:t>
            </w:r>
          </w:p>
        </w:tc>
      </w:tr>
      <w:tr w:rsidR="004E2C0F" w14:paraId="5394CA1B" w14:textId="77777777" w:rsidTr="00194F46">
        <w:tc>
          <w:tcPr>
            <w:tcW w:w="1152" w:type="pct"/>
            <w:tcBorders>
              <w:top w:val="single" w:sz="4" w:space="0" w:color="auto"/>
              <w:left w:val="single" w:sz="4" w:space="0" w:color="auto"/>
              <w:bottom w:val="single" w:sz="4" w:space="0" w:color="auto"/>
              <w:right w:val="single" w:sz="4" w:space="0" w:color="auto"/>
            </w:tcBorders>
            <w:hideMark/>
          </w:tcPr>
          <w:p w14:paraId="7B8A13F7" w14:textId="77777777" w:rsidR="004E2C0F" w:rsidRDefault="004E2C0F" w:rsidP="00194F46">
            <w:pPr>
              <w:pStyle w:val="SJITableText"/>
            </w:pPr>
            <w:r>
              <w:t>None</w:t>
            </w:r>
          </w:p>
        </w:tc>
        <w:tc>
          <w:tcPr>
            <w:tcW w:w="2263" w:type="pct"/>
            <w:tcBorders>
              <w:top w:val="single" w:sz="4" w:space="0" w:color="auto"/>
              <w:left w:val="single" w:sz="4" w:space="0" w:color="auto"/>
              <w:bottom w:val="single" w:sz="4" w:space="0" w:color="auto"/>
              <w:right w:val="single" w:sz="4" w:space="0" w:color="auto"/>
            </w:tcBorders>
          </w:tcPr>
          <w:p w14:paraId="7B2CF558" w14:textId="77777777" w:rsidR="004E2C0F" w:rsidRDefault="004E2C0F" w:rsidP="00194F46">
            <w:pPr>
              <w:pStyle w:val="SJITableText"/>
            </w:pPr>
          </w:p>
        </w:tc>
        <w:tc>
          <w:tcPr>
            <w:tcW w:w="914" w:type="pct"/>
            <w:tcBorders>
              <w:top w:val="single" w:sz="4" w:space="0" w:color="auto"/>
              <w:left w:val="single" w:sz="4" w:space="0" w:color="auto"/>
              <w:bottom w:val="single" w:sz="4" w:space="0" w:color="auto"/>
              <w:right w:val="single" w:sz="4" w:space="0" w:color="auto"/>
            </w:tcBorders>
          </w:tcPr>
          <w:p w14:paraId="06CD32AC" w14:textId="77777777" w:rsidR="004E2C0F" w:rsidRDefault="004E2C0F" w:rsidP="00194F46">
            <w:pPr>
              <w:pStyle w:val="SJITableText"/>
            </w:pPr>
          </w:p>
        </w:tc>
        <w:tc>
          <w:tcPr>
            <w:tcW w:w="671" w:type="pct"/>
            <w:tcBorders>
              <w:top w:val="single" w:sz="4" w:space="0" w:color="auto"/>
              <w:left w:val="single" w:sz="4" w:space="0" w:color="auto"/>
              <w:bottom w:val="single" w:sz="4" w:space="0" w:color="auto"/>
              <w:right w:val="single" w:sz="4" w:space="0" w:color="auto"/>
            </w:tcBorders>
          </w:tcPr>
          <w:p w14:paraId="091DB426" w14:textId="77777777" w:rsidR="004E2C0F" w:rsidRDefault="004E2C0F" w:rsidP="00194F46">
            <w:pPr>
              <w:pStyle w:val="SJITableText"/>
            </w:pPr>
          </w:p>
        </w:tc>
      </w:tr>
      <w:tr w:rsidR="004E2C0F" w14:paraId="35400CA2" w14:textId="77777777" w:rsidTr="00194F46">
        <w:tc>
          <w:tcPr>
            <w:tcW w:w="1152" w:type="pct"/>
            <w:tcBorders>
              <w:top w:val="single" w:sz="4" w:space="0" w:color="auto"/>
              <w:left w:val="single" w:sz="4" w:space="0" w:color="auto"/>
              <w:bottom w:val="single" w:sz="4" w:space="0" w:color="auto"/>
              <w:right w:val="single" w:sz="4" w:space="0" w:color="auto"/>
            </w:tcBorders>
          </w:tcPr>
          <w:p w14:paraId="0E1A3F69" w14:textId="77777777" w:rsidR="004E2C0F" w:rsidRDefault="004E2C0F" w:rsidP="00194F46">
            <w:pPr>
              <w:pStyle w:val="SJITableText"/>
            </w:pPr>
          </w:p>
        </w:tc>
        <w:tc>
          <w:tcPr>
            <w:tcW w:w="2263" w:type="pct"/>
            <w:tcBorders>
              <w:top w:val="single" w:sz="4" w:space="0" w:color="auto"/>
              <w:left w:val="single" w:sz="4" w:space="0" w:color="auto"/>
              <w:bottom w:val="single" w:sz="4" w:space="0" w:color="auto"/>
              <w:right w:val="single" w:sz="4" w:space="0" w:color="auto"/>
            </w:tcBorders>
            <w:hideMark/>
          </w:tcPr>
          <w:p w14:paraId="1FFF4B34" w14:textId="77777777" w:rsidR="004E2C0F" w:rsidRDefault="004E2C0F" w:rsidP="00194F46">
            <w:pPr>
              <w:pStyle w:val="SJITableText"/>
            </w:pPr>
            <w:r>
              <w:t>Assault on a law enforcement officer</w:t>
            </w:r>
          </w:p>
        </w:tc>
        <w:tc>
          <w:tcPr>
            <w:tcW w:w="914" w:type="pct"/>
            <w:tcBorders>
              <w:top w:val="single" w:sz="4" w:space="0" w:color="auto"/>
              <w:left w:val="single" w:sz="4" w:space="0" w:color="auto"/>
              <w:bottom w:val="single" w:sz="4" w:space="0" w:color="auto"/>
              <w:right w:val="single" w:sz="4" w:space="0" w:color="auto"/>
            </w:tcBorders>
            <w:hideMark/>
          </w:tcPr>
          <w:p w14:paraId="1FF4DC3D" w14:textId="77777777" w:rsidR="004E2C0F" w:rsidRDefault="004E2C0F" w:rsidP="00194F46">
            <w:pPr>
              <w:pStyle w:val="SJITableText"/>
            </w:pPr>
            <w:r>
              <w:t>784.07(2)(a)</w:t>
            </w:r>
          </w:p>
        </w:tc>
        <w:tc>
          <w:tcPr>
            <w:tcW w:w="671" w:type="pct"/>
            <w:tcBorders>
              <w:top w:val="single" w:sz="4" w:space="0" w:color="auto"/>
              <w:left w:val="single" w:sz="4" w:space="0" w:color="auto"/>
              <w:bottom w:val="single" w:sz="4" w:space="0" w:color="auto"/>
              <w:right w:val="single" w:sz="4" w:space="0" w:color="auto"/>
            </w:tcBorders>
            <w:hideMark/>
          </w:tcPr>
          <w:p w14:paraId="0FB1DB8B" w14:textId="77777777" w:rsidR="004E2C0F" w:rsidRDefault="004E2C0F" w:rsidP="00194F46">
            <w:pPr>
              <w:pStyle w:val="SJITableText"/>
            </w:pPr>
            <w:r>
              <w:t>8.10</w:t>
            </w:r>
          </w:p>
        </w:tc>
      </w:tr>
      <w:tr w:rsidR="004E2C0F" w14:paraId="77F46E53" w14:textId="77777777" w:rsidTr="00194F46">
        <w:tc>
          <w:tcPr>
            <w:tcW w:w="1152" w:type="pct"/>
            <w:tcBorders>
              <w:top w:val="single" w:sz="4" w:space="0" w:color="auto"/>
              <w:left w:val="single" w:sz="4" w:space="0" w:color="auto"/>
              <w:bottom w:val="single" w:sz="4" w:space="0" w:color="auto"/>
              <w:right w:val="single" w:sz="4" w:space="0" w:color="auto"/>
            </w:tcBorders>
          </w:tcPr>
          <w:p w14:paraId="753171F9" w14:textId="77777777" w:rsidR="004E2C0F" w:rsidRDefault="004E2C0F" w:rsidP="00194F46">
            <w:pPr>
              <w:pStyle w:val="SJITableText"/>
            </w:pPr>
          </w:p>
        </w:tc>
        <w:tc>
          <w:tcPr>
            <w:tcW w:w="2263" w:type="pct"/>
            <w:tcBorders>
              <w:top w:val="single" w:sz="4" w:space="0" w:color="auto"/>
              <w:left w:val="single" w:sz="4" w:space="0" w:color="auto"/>
              <w:bottom w:val="single" w:sz="4" w:space="0" w:color="auto"/>
              <w:right w:val="single" w:sz="4" w:space="0" w:color="auto"/>
            </w:tcBorders>
            <w:hideMark/>
          </w:tcPr>
          <w:p w14:paraId="04EE5678" w14:textId="77777777" w:rsidR="004E2C0F" w:rsidRDefault="004E2C0F" w:rsidP="00194F46">
            <w:pPr>
              <w:pStyle w:val="SJITableText"/>
            </w:pPr>
            <w:r>
              <w:t>Assault</w:t>
            </w:r>
          </w:p>
        </w:tc>
        <w:tc>
          <w:tcPr>
            <w:tcW w:w="914" w:type="pct"/>
            <w:tcBorders>
              <w:top w:val="single" w:sz="4" w:space="0" w:color="auto"/>
              <w:left w:val="single" w:sz="4" w:space="0" w:color="auto"/>
              <w:bottom w:val="single" w:sz="4" w:space="0" w:color="auto"/>
              <w:right w:val="single" w:sz="4" w:space="0" w:color="auto"/>
            </w:tcBorders>
            <w:hideMark/>
          </w:tcPr>
          <w:p w14:paraId="4677FA8E" w14:textId="77777777" w:rsidR="004E2C0F" w:rsidRDefault="004E2C0F" w:rsidP="00194F46">
            <w:pPr>
              <w:pStyle w:val="SJITableText"/>
            </w:pPr>
            <w:r>
              <w:t>784.011</w:t>
            </w:r>
          </w:p>
        </w:tc>
        <w:tc>
          <w:tcPr>
            <w:tcW w:w="671" w:type="pct"/>
            <w:tcBorders>
              <w:top w:val="single" w:sz="4" w:space="0" w:color="auto"/>
              <w:left w:val="single" w:sz="4" w:space="0" w:color="auto"/>
              <w:bottom w:val="single" w:sz="4" w:space="0" w:color="auto"/>
              <w:right w:val="single" w:sz="4" w:space="0" w:color="auto"/>
            </w:tcBorders>
            <w:hideMark/>
          </w:tcPr>
          <w:p w14:paraId="03D405F0" w14:textId="77777777" w:rsidR="004E2C0F" w:rsidRDefault="004E2C0F" w:rsidP="00194F46">
            <w:pPr>
              <w:pStyle w:val="SJITableText"/>
            </w:pPr>
            <w:r>
              <w:t>8.1</w:t>
            </w:r>
          </w:p>
        </w:tc>
      </w:tr>
      <w:tr w:rsidR="004E2C0F" w14:paraId="443E0DCD" w14:textId="77777777" w:rsidTr="00194F46">
        <w:tc>
          <w:tcPr>
            <w:tcW w:w="1152" w:type="pct"/>
            <w:tcBorders>
              <w:top w:val="single" w:sz="4" w:space="0" w:color="auto"/>
              <w:left w:val="single" w:sz="4" w:space="0" w:color="auto"/>
              <w:bottom w:val="single" w:sz="4" w:space="0" w:color="auto"/>
              <w:right w:val="single" w:sz="4" w:space="0" w:color="auto"/>
            </w:tcBorders>
          </w:tcPr>
          <w:p w14:paraId="77395172" w14:textId="77777777" w:rsidR="004E2C0F" w:rsidRDefault="004E2C0F" w:rsidP="00194F46">
            <w:pPr>
              <w:pStyle w:val="SJITableText"/>
            </w:pPr>
          </w:p>
        </w:tc>
        <w:tc>
          <w:tcPr>
            <w:tcW w:w="2263" w:type="pct"/>
            <w:tcBorders>
              <w:top w:val="single" w:sz="4" w:space="0" w:color="auto"/>
              <w:left w:val="single" w:sz="4" w:space="0" w:color="auto"/>
              <w:bottom w:val="single" w:sz="4" w:space="0" w:color="auto"/>
              <w:right w:val="single" w:sz="4" w:space="0" w:color="auto"/>
            </w:tcBorders>
            <w:hideMark/>
          </w:tcPr>
          <w:p w14:paraId="6CF686CF" w14:textId="77777777" w:rsidR="004E2C0F" w:rsidRDefault="004E2C0F" w:rsidP="00194F46">
            <w:pPr>
              <w:pStyle w:val="SJITableText"/>
            </w:pPr>
            <w:r>
              <w:t>Attempt</w:t>
            </w:r>
          </w:p>
        </w:tc>
        <w:tc>
          <w:tcPr>
            <w:tcW w:w="914" w:type="pct"/>
            <w:tcBorders>
              <w:top w:val="single" w:sz="4" w:space="0" w:color="auto"/>
              <w:left w:val="single" w:sz="4" w:space="0" w:color="auto"/>
              <w:bottom w:val="single" w:sz="4" w:space="0" w:color="auto"/>
              <w:right w:val="single" w:sz="4" w:space="0" w:color="auto"/>
            </w:tcBorders>
            <w:hideMark/>
          </w:tcPr>
          <w:p w14:paraId="489EB1E7" w14:textId="77777777" w:rsidR="004E2C0F" w:rsidRDefault="004E2C0F" w:rsidP="00194F46">
            <w:pPr>
              <w:pStyle w:val="SJITableText"/>
            </w:pPr>
            <w:r>
              <w:t>777.04(1)</w:t>
            </w:r>
          </w:p>
        </w:tc>
        <w:tc>
          <w:tcPr>
            <w:tcW w:w="671" w:type="pct"/>
            <w:tcBorders>
              <w:top w:val="single" w:sz="4" w:space="0" w:color="auto"/>
              <w:left w:val="single" w:sz="4" w:space="0" w:color="auto"/>
              <w:bottom w:val="single" w:sz="4" w:space="0" w:color="auto"/>
              <w:right w:val="single" w:sz="4" w:space="0" w:color="auto"/>
            </w:tcBorders>
            <w:hideMark/>
          </w:tcPr>
          <w:p w14:paraId="0B1BCAC1" w14:textId="77777777" w:rsidR="004E2C0F" w:rsidRDefault="004E2C0F" w:rsidP="00194F46">
            <w:pPr>
              <w:pStyle w:val="SJITableText"/>
            </w:pPr>
            <w:r>
              <w:t>5.1</w:t>
            </w:r>
          </w:p>
        </w:tc>
      </w:tr>
    </w:tbl>
    <w:bookmarkEnd w:id="4"/>
    <w:p w14:paraId="0B2EB39D" w14:textId="77777777" w:rsidR="004E2C0F" w:rsidRDefault="004E2C0F" w:rsidP="00194F46">
      <w:pPr>
        <w:pStyle w:val="SJIComments"/>
      </w:pPr>
      <w:r>
        <w:t>Comments</w:t>
      </w:r>
    </w:p>
    <w:p w14:paraId="19AD4C9A" w14:textId="75542F49" w:rsidR="004E2C0F" w:rsidRDefault="004E2C0F" w:rsidP="004E2C0F">
      <w:pPr>
        <w:suppressAutoHyphens/>
        <w:rPr>
          <w:rFonts w:cs="Times New Roman"/>
        </w:rPr>
      </w:pPr>
      <w:r>
        <w:rPr>
          <w:rFonts w:cs="Times New Roman"/>
        </w:rPr>
        <w:t xml:space="preserve">As of </w:t>
      </w:r>
      <w:r w:rsidR="000B7FAB" w:rsidRPr="000B7FAB">
        <w:rPr>
          <w:rFonts w:cs="Times New Roman"/>
        </w:rPr>
        <w:t xml:space="preserve">February </w:t>
      </w:r>
      <w:r w:rsidR="00B66C7B" w:rsidRPr="000B7FAB">
        <w:rPr>
          <w:rFonts w:cs="Times New Roman"/>
        </w:rPr>
        <w:t>2026</w:t>
      </w:r>
      <w:r>
        <w:rPr>
          <w:rFonts w:cs="Times New Roman"/>
        </w:rPr>
        <w:t xml:space="preserve">, it is unclear whether the courts will require the state to prove either that the victim felt threatened or that a reasonable person in victim’s position would have felt threatened. </w:t>
      </w:r>
    </w:p>
    <w:p w14:paraId="7ACB795E" w14:textId="2551096F" w:rsidR="005D707B" w:rsidRDefault="004E2C0F" w:rsidP="004E2C0F">
      <w:r>
        <w:rPr>
          <w:rFonts w:cs="Times New Roman"/>
        </w:rPr>
        <w:t xml:space="preserve">This instruction was adopted in 2017 [217 So. 3d 965] and amended on April 5, 2021, on January 7, 2022, on December 15, 2023, </w:t>
      </w:r>
      <w:r w:rsidRPr="000B7FAB">
        <w:rPr>
          <w:rFonts w:cs="Times New Roman"/>
        </w:rPr>
        <w:t xml:space="preserve">and on </w:t>
      </w:r>
      <w:r w:rsidR="000B7FAB" w:rsidRPr="000B7FAB">
        <w:rPr>
          <w:rFonts w:cs="Times New Roman"/>
        </w:rPr>
        <w:t>March 20,</w:t>
      </w:r>
      <w:r w:rsidRPr="000B7FAB">
        <w:rPr>
          <w:rFonts w:cs="Times New Roman"/>
        </w:rPr>
        <w:t xml:space="preserve"> 202</w:t>
      </w:r>
      <w:r w:rsidR="00882399" w:rsidRPr="000B7FAB">
        <w:rPr>
          <w:rFonts w:cs="Times New Roman"/>
        </w:rPr>
        <w:t>6</w:t>
      </w:r>
      <w:r>
        <w:rPr>
          <w:rFonts w:cs="Times New Roman"/>
        </w:rPr>
        <w:t>.</w:t>
      </w:r>
    </w:p>
    <w:sectPr w:rsidR="005D70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A032A"/>
    <w:multiLevelType w:val="hybridMultilevel"/>
    <w:tmpl w:val="316EA4B2"/>
    <w:lvl w:ilvl="0" w:tplc="49A6DF16">
      <w:start w:val="1"/>
      <w:numFmt w:val="lowerLetter"/>
      <w:pStyle w:val="SJINumberedParagraph"/>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3C1779E2"/>
    <w:multiLevelType w:val="hybridMultilevel"/>
    <w:tmpl w:val="40E040BC"/>
    <w:lvl w:ilvl="0" w:tplc="C1CC5EF0">
      <w:start w:val="1"/>
      <w:numFmt w:val="decimal"/>
      <w:lvlText w:val="%1."/>
      <w:lvlJc w:val="left"/>
      <w:pPr>
        <w:ind w:left="1080" w:hanging="360"/>
      </w:pPr>
      <w:rPr>
        <w:b/>
        <w:bCs/>
      </w:rPr>
    </w:lvl>
    <w:lvl w:ilvl="1" w:tplc="FFFFFFFF">
      <w:start w:val="1"/>
      <w:numFmt w:val="lowerLetter"/>
      <w:lvlText w:val="%2."/>
      <w:lvlJc w:val="left"/>
      <w:pPr>
        <w:ind w:left="1800" w:hanging="360"/>
      </w:pPr>
      <w:rPr>
        <w:rFonts w:cs="Times New Roman"/>
      </w:rPr>
    </w:lvl>
    <w:lvl w:ilvl="2" w:tplc="FFFFFFFF">
      <w:start w:val="1"/>
      <w:numFmt w:val="lowerRoman"/>
      <w:lvlText w:val="%3."/>
      <w:lvlJc w:val="right"/>
      <w:pPr>
        <w:ind w:left="2520" w:hanging="180"/>
      </w:pPr>
      <w:rPr>
        <w:rFonts w:cs="Times New Roman"/>
      </w:rPr>
    </w:lvl>
    <w:lvl w:ilvl="3" w:tplc="FFFFFFFF">
      <w:start w:val="1"/>
      <w:numFmt w:val="decimal"/>
      <w:lvlText w:val="%4."/>
      <w:lvlJc w:val="left"/>
      <w:pPr>
        <w:ind w:left="3240" w:hanging="360"/>
      </w:pPr>
      <w:rPr>
        <w:rFonts w:cs="Times New Roman"/>
      </w:rPr>
    </w:lvl>
    <w:lvl w:ilvl="4" w:tplc="FFFFFFFF">
      <w:start w:val="1"/>
      <w:numFmt w:val="lowerLetter"/>
      <w:lvlText w:val="%5."/>
      <w:lvlJc w:val="left"/>
      <w:pPr>
        <w:ind w:left="3960" w:hanging="360"/>
      </w:pPr>
      <w:rPr>
        <w:rFonts w:cs="Times New Roman"/>
      </w:rPr>
    </w:lvl>
    <w:lvl w:ilvl="5" w:tplc="FFFFFFFF">
      <w:start w:val="1"/>
      <w:numFmt w:val="lowerRoman"/>
      <w:lvlText w:val="%6."/>
      <w:lvlJc w:val="right"/>
      <w:pPr>
        <w:ind w:left="4680" w:hanging="180"/>
      </w:pPr>
      <w:rPr>
        <w:rFonts w:cs="Times New Roman"/>
      </w:rPr>
    </w:lvl>
    <w:lvl w:ilvl="6" w:tplc="FFFFFFFF">
      <w:start w:val="1"/>
      <w:numFmt w:val="decimal"/>
      <w:lvlText w:val="%7."/>
      <w:lvlJc w:val="left"/>
      <w:pPr>
        <w:ind w:left="5400" w:hanging="360"/>
      </w:pPr>
      <w:rPr>
        <w:rFonts w:cs="Times New Roman"/>
      </w:rPr>
    </w:lvl>
    <w:lvl w:ilvl="7" w:tplc="FFFFFFFF">
      <w:start w:val="1"/>
      <w:numFmt w:val="lowerLetter"/>
      <w:lvlText w:val="%8."/>
      <w:lvlJc w:val="left"/>
      <w:pPr>
        <w:ind w:left="6120" w:hanging="360"/>
      </w:pPr>
      <w:rPr>
        <w:rFonts w:cs="Times New Roman"/>
      </w:rPr>
    </w:lvl>
    <w:lvl w:ilvl="8" w:tplc="FFFFFFFF">
      <w:start w:val="1"/>
      <w:numFmt w:val="lowerRoman"/>
      <w:lvlText w:val="%9."/>
      <w:lvlJc w:val="right"/>
      <w:pPr>
        <w:ind w:left="6840" w:hanging="180"/>
      </w:pPr>
      <w:rPr>
        <w:rFonts w:cs="Times New Roman"/>
      </w:rPr>
    </w:lvl>
  </w:abstractNum>
  <w:abstractNum w:abstractNumId="2" w15:restartNumberingAfterBreak="0">
    <w:nsid w:val="62A22982"/>
    <w:multiLevelType w:val="hybridMultilevel"/>
    <w:tmpl w:val="50E26DE4"/>
    <w:lvl w:ilvl="0" w:tplc="C1CC5EF0">
      <w:start w:val="1"/>
      <w:numFmt w:val="decimal"/>
      <w:lvlText w:val="%1."/>
      <w:lvlJc w:val="left"/>
      <w:pPr>
        <w:ind w:left="1800" w:hanging="360"/>
      </w:pPr>
      <w:rPr>
        <w:b/>
        <w:bCs/>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 w15:restartNumberingAfterBreak="0">
    <w:nsid w:val="768774AA"/>
    <w:multiLevelType w:val="hybridMultilevel"/>
    <w:tmpl w:val="3880E050"/>
    <w:lvl w:ilvl="0" w:tplc="FEBC0208">
      <w:start w:val="1"/>
      <w:numFmt w:val="decimal"/>
      <w:lvlText w:val="(%1)"/>
      <w:lvlJc w:val="left"/>
      <w:pPr>
        <w:ind w:left="1080" w:hanging="720"/>
      </w:pPr>
      <w:rPr>
        <w:rFonts w:ascii="Calibri" w:hAnsi="Calibri" w:cs="Calibri" w:hint="default"/>
        <w:b/>
        <w:bCs/>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02494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492726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41454165">
    <w:abstractNumId w:val="3"/>
  </w:num>
  <w:num w:numId="4" w16cid:durableId="1233740134">
    <w:abstractNumId w:val="0"/>
  </w:num>
  <w:num w:numId="5" w16cid:durableId="1258711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C0F"/>
    <w:rsid w:val="000221C5"/>
    <w:rsid w:val="000515A6"/>
    <w:rsid w:val="00077B57"/>
    <w:rsid w:val="000B7FAB"/>
    <w:rsid w:val="00101565"/>
    <w:rsid w:val="00194F46"/>
    <w:rsid w:val="00436504"/>
    <w:rsid w:val="004447DE"/>
    <w:rsid w:val="00456377"/>
    <w:rsid w:val="004E2C0F"/>
    <w:rsid w:val="0056382D"/>
    <w:rsid w:val="005D707B"/>
    <w:rsid w:val="006A3801"/>
    <w:rsid w:val="006B5852"/>
    <w:rsid w:val="00784C3D"/>
    <w:rsid w:val="008058ED"/>
    <w:rsid w:val="008656A8"/>
    <w:rsid w:val="00882399"/>
    <w:rsid w:val="00941B40"/>
    <w:rsid w:val="00A342DC"/>
    <w:rsid w:val="00B45C5C"/>
    <w:rsid w:val="00B66C7B"/>
    <w:rsid w:val="00BF3C7E"/>
    <w:rsid w:val="00C358B8"/>
    <w:rsid w:val="00C55ACB"/>
    <w:rsid w:val="00CF3F06"/>
    <w:rsid w:val="00D11501"/>
    <w:rsid w:val="00DC2FB7"/>
    <w:rsid w:val="00DC78B8"/>
    <w:rsid w:val="00FC0AC3"/>
    <w:rsid w:val="00FC60E3"/>
    <w:rsid w:val="00FC620F"/>
    <w:rsid w:val="00FE0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E0FF5"/>
  <w15:chartTrackingRefBased/>
  <w15:docId w15:val="{3AFD4CDD-3E95-4E5F-8368-7749C42E9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501"/>
    <w:pPr>
      <w:spacing w:after="220"/>
      <w:ind w:firstLine="720"/>
    </w:pPr>
    <w:rPr>
      <w:rFonts w:ascii="Bookman Old Style" w:hAnsi="Bookman Old Style"/>
      <w:color w:val="000000"/>
    </w:rPr>
  </w:style>
  <w:style w:type="paragraph" w:styleId="Heading1">
    <w:name w:val="heading 1"/>
    <w:basedOn w:val="Normal"/>
    <w:next w:val="Normal"/>
    <w:link w:val="Heading1Char"/>
    <w:uiPriority w:val="9"/>
    <w:qFormat/>
    <w:rsid w:val="00D11501"/>
    <w:pPr>
      <w:keepNext/>
      <w:keepLines/>
      <w:spacing w:after="280" w:line="240" w:lineRule="auto"/>
      <w:jc w:val="center"/>
      <w:outlineLvl w:val="0"/>
    </w:pPr>
    <w:rPr>
      <w:rFonts w:eastAsiaTheme="majorEastAsia" w:cstheme="majorBidi"/>
      <w:b/>
      <w:caps/>
      <w:sz w:val="28"/>
      <w:szCs w:val="28"/>
    </w:rPr>
  </w:style>
  <w:style w:type="paragraph" w:styleId="Heading2">
    <w:name w:val="heading 2"/>
    <w:basedOn w:val="Normal"/>
    <w:next w:val="Normal"/>
    <w:link w:val="Heading2Char"/>
    <w:uiPriority w:val="9"/>
    <w:qFormat/>
    <w:rsid w:val="00D11501"/>
    <w:pPr>
      <w:ind w:firstLine="0"/>
      <w:jc w:val="center"/>
      <w:outlineLvl w:val="1"/>
    </w:pPr>
    <w:rPr>
      <w:rFonts w:eastAsiaTheme="majorEastAsia" w:cstheme="majorBidi"/>
      <w:b/>
      <w:bCs/>
      <w:sz w:val="26"/>
      <w:szCs w:val="26"/>
    </w:rPr>
  </w:style>
  <w:style w:type="paragraph" w:styleId="Heading3">
    <w:name w:val="heading 3"/>
    <w:basedOn w:val="Normal"/>
    <w:next w:val="Normal"/>
    <w:link w:val="Heading3Char"/>
    <w:uiPriority w:val="9"/>
    <w:qFormat/>
    <w:rsid w:val="00D11501"/>
    <w:pPr>
      <w:spacing w:after="0" w:line="240" w:lineRule="auto"/>
      <w:ind w:firstLine="0"/>
      <w:jc w:val="center"/>
      <w:outlineLvl w:val="2"/>
    </w:pPr>
    <w:rPr>
      <w:rFonts w:eastAsiaTheme="majorEastAsia" w:cstheme="majorBidi"/>
      <w:b/>
      <w:bCs/>
      <w:iCs/>
      <w:caps/>
      <w:sz w:val="24"/>
      <w:szCs w:val="24"/>
    </w:rPr>
  </w:style>
  <w:style w:type="paragraph" w:styleId="Heading4">
    <w:name w:val="heading 4"/>
    <w:basedOn w:val="SJITableTitle"/>
    <w:next w:val="Normal"/>
    <w:link w:val="Heading4Char"/>
    <w:uiPriority w:val="9"/>
    <w:qFormat/>
    <w:rsid w:val="00D11501"/>
    <w:pPr>
      <w:outlineLvl w:val="3"/>
    </w:pPr>
    <w:rPr>
      <w:rFonts w:cstheme="majorBidi"/>
    </w:rPr>
  </w:style>
  <w:style w:type="paragraph" w:styleId="Heading5">
    <w:name w:val="heading 5"/>
    <w:basedOn w:val="Normal"/>
    <w:next w:val="Normal"/>
    <w:link w:val="Heading5Char"/>
    <w:uiPriority w:val="9"/>
    <w:qFormat/>
    <w:rsid w:val="00D11501"/>
    <w:pPr>
      <w:spacing w:before="240" w:after="60" w:line="240" w:lineRule="auto"/>
      <w:ind w:left="1008" w:hanging="432"/>
      <w:outlineLvl w:val="4"/>
    </w:pPr>
    <w:rPr>
      <w:rFonts w:ascii="Times New Roman" w:eastAsiaTheme="majorEastAsia" w:hAnsi="Times New Roman" w:cstheme="majorBidi"/>
      <w:b/>
      <w:bCs/>
      <w:i/>
      <w:iCs/>
      <w:sz w:val="26"/>
      <w:szCs w:val="26"/>
    </w:rPr>
  </w:style>
  <w:style w:type="paragraph" w:styleId="Heading6">
    <w:name w:val="heading 6"/>
    <w:basedOn w:val="Normal"/>
    <w:next w:val="Normal"/>
    <w:link w:val="Heading6Char"/>
    <w:uiPriority w:val="9"/>
    <w:qFormat/>
    <w:rsid w:val="00D11501"/>
    <w:pPr>
      <w:spacing w:before="240" w:after="60" w:line="240" w:lineRule="auto"/>
      <w:ind w:left="1152" w:hanging="432"/>
      <w:outlineLvl w:val="5"/>
    </w:pPr>
    <w:rPr>
      <w:rFonts w:ascii="Times New Roman" w:eastAsiaTheme="majorEastAsia" w:hAnsi="Times New Roman" w:cstheme="majorBidi"/>
      <w:b/>
      <w:bCs/>
    </w:rPr>
  </w:style>
  <w:style w:type="paragraph" w:styleId="Heading7">
    <w:name w:val="heading 7"/>
    <w:basedOn w:val="Normal"/>
    <w:next w:val="Normal"/>
    <w:link w:val="Heading7Char"/>
    <w:uiPriority w:val="9"/>
    <w:qFormat/>
    <w:rsid w:val="00D11501"/>
    <w:pPr>
      <w:spacing w:before="240" w:after="60" w:line="240" w:lineRule="auto"/>
      <w:ind w:left="1296" w:hanging="288"/>
      <w:outlineLvl w:val="6"/>
    </w:pPr>
    <w:rPr>
      <w:rFonts w:ascii="Times New Roman" w:eastAsiaTheme="majorEastAsia" w:hAnsi="Times New Roman" w:cstheme="majorBidi"/>
      <w:szCs w:val="24"/>
    </w:rPr>
  </w:style>
  <w:style w:type="paragraph" w:styleId="Heading8">
    <w:name w:val="heading 8"/>
    <w:basedOn w:val="Normal"/>
    <w:next w:val="Normal"/>
    <w:link w:val="Heading8Char"/>
    <w:uiPriority w:val="9"/>
    <w:qFormat/>
    <w:rsid w:val="00D11501"/>
    <w:pPr>
      <w:spacing w:before="240" w:after="60" w:line="240" w:lineRule="auto"/>
      <w:ind w:left="1440" w:hanging="432"/>
      <w:outlineLvl w:val="7"/>
    </w:pPr>
    <w:rPr>
      <w:rFonts w:ascii="Times New Roman" w:eastAsiaTheme="majorEastAsia" w:hAnsi="Times New Roman" w:cstheme="majorBidi"/>
      <w:i/>
      <w:iCs/>
      <w:szCs w:val="24"/>
    </w:rPr>
  </w:style>
  <w:style w:type="paragraph" w:styleId="Heading9">
    <w:name w:val="heading 9"/>
    <w:basedOn w:val="Normal"/>
    <w:next w:val="Normal"/>
    <w:link w:val="Heading9Char"/>
    <w:uiPriority w:val="9"/>
    <w:qFormat/>
    <w:rsid w:val="00D11501"/>
    <w:pPr>
      <w:spacing w:before="240" w:after="60" w:line="240" w:lineRule="auto"/>
      <w:ind w:left="1584" w:hanging="144"/>
      <w:outlineLvl w:val="8"/>
    </w:pPr>
    <w:rPr>
      <w:rFonts w:ascii="Arial" w:eastAsiaTheme="majorEastAsia"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1501"/>
    <w:rPr>
      <w:rFonts w:ascii="Bookman Old Style" w:eastAsiaTheme="majorEastAsia" w:hAnsi="Bookman Old Style" w:cstheme="majorBidi"/>
      <w:b/>
      <w:caps/>
      <w:color w:val="000000"/>
      <w:sz w:val="28"/>
      <w:szCs w:val="28"/>
    </w:rPr>
  </w:style>
  <w:style w:type="character" w:customStyle="1" w:styleId="Heading2Char">
    <w:name w:val="Heading 2 Char"/>
    <w:basedOn w:val="DefaultParagraphFont"/>
    <w:link w:val="Heading2"/>
    <w:uiPriority w:val="9"/>
    <w:rsid w:val="00D11501"/>
    <w:rPr>
      <w:rFonts w:ascii="Bookman Old Style" w:eastAsiaTheme="majorEastAsia" w:hAnsi="Bookman Old Style" w:cstheme="majorBidi"/>
      <w:b/>
      <w:bCs/>
      <w:color w:val="000000"/>
      <w:sz w:val="26"/>
      <w:szCs w:val="26"/>
    </w:rPr>
  </w:style>
  <w:style w:type="character" w:customStyle="1" w:styleId="Heading3Char">
    <w:name w:val="Heading 3 Char"/>
    <w:basedOn w:val="DefaultParagraphFont"/>
    <w:link w:val="Heading3"/>
    <w:uiPriority w:val="9"/>
    <w:rsid w:val="00D11501"/>
    <w:rPr>
      <w:rFonts w:ascii="Bookman Old Style" w:eastAsiaTheme="majorEastAsia" w:hAnsi="Bookman Old Style" w:cstheme="majorBidi"/>
      <w:b/>
      <w:bCs/>
      <w:iCs/>
      <w:caps/>
      <w:color w:val="000000"/>
      <w:sz w:val="24"/>
      <w:szCs w:val="24"/>
    </w:rPr>
  </w:style>
  <w:style w:type="character" w:customStyle="1" w:styleId="Heading4Char">
    <w:name w:val="Heading 4 Char"/>
    <w:basedOn w:val="DefaultParagraphFont"/>
    <w:link w:val="Heading4"/>
    <w:uiPriority w:val="9"/>
    <w:rsid w:val="00D11501"/>
    <w:rPr>
      <w:rFonts w:ascii="Bookman Old Style" w:eastAsiaTheme="minorEastAsia" w:hAnsi="Bookman Old Style" w:cstheme="majorBidi"/>
      <w:b/>
      <w:bCs/>
      <w:caps/>
      <w:color w:val="000000"/>
      <w:shd w:val="clear" w:color="auto" w:fill="E7E6E6" w:themeFill="background2"/>
    </w:rPr>
  </w:style>
  <w:style w:type="character" w:customStyle="1" w:styleId="Heading5Char">
    <w:name w:val="Heading 5 Char"/>
    <w:basedOn w:val="DefaultParagraphFont"/>
    <w:link w:val="Heading5"/>
    <w:uiPriority w:val="9"/>
    <w:rsid w:val="00D11501"/>
    <w:rPr>
      <w:rFonts w:ascii="Times New Roman" w:eastAsiaTheme="majorEastAsia" w:hAnsi="Times New Roman" w:cstheme="majorBidi"/>
      <w:b/>
      <w:bCs/>
      <w:i/>
      <w:iCs/>
      <w:color w:val="000000"/>
      <w:sz w:val="26"/>
      <w:szCs w:val="26"/>
    </w:rPr>
  </w:style>
  <w:style w:type="character" w:customStyle="1" w:styleId="Heading6Char">
    <w:name w:val="Heading 6 Char"/>
    <w:basedOn w:val="DefaultParagraphFont"/>
    <w:link w:val="Heading6"/>
    <w:uiPriority w:val="9"/>
    <w:rsid w:val="00D11501"/>
    <w:rPr>
      <w:rFonts w:ascii="Times New Roman" w:eastAsiaTheme="majorEastAsia" w:hAnsi="Times New Roman" w:cstheme="majorBidi"/>
      <w:b/>
      <w:bCs/>
      <w:color w:val="000000"/>
    </w:rPr>
  </w:style>
  <w:style w:type="character" w:customStyle="1" w:styleId="Heading7Char">
    <w:name w:val="Heading 7 Char"/>
    <w:basedOn w:val="DefaultParagraphFont"/>
    <w:link w:val="Heading7"/>
    <w:uiPriority w:val="9"/>
    <w:rsid w:val="00D11501"/>
    <w:rPr>
      <w:rFonts w:ascii="Times New Roman" w:eastAsiaTheme="majorEastAsia" w:hAnsi="Times New Roman" w:cstheme="majorBidi"/>
      <w:color w:val="000000"/>
      <w:szCs w:val="24"/>
    </w:rPr>
  </w:style>
  <w:style w:type="character" w:customStyle="1" w:styleId="Heading8Char">
    <w:name w:val="Heading 8 Char"/>
    <w:basedOn w:val="DefaultParagraphFont"/>
    <w:link w:val="Heading8"/>
    <w:uiPriority w:val="9"/>
    <w:rsid w:val="00D11501"/>
    <w:rPr>
      <w:rFonts w:ascii="Times New Roman" w:eastAsiaTheme="majorEastAsia" w:hAnsi="Times New Roman" w:cstheme="majorBidi"/>
      <w:i/>
      <w:iCs/>
      <w:color w:val="000000"/>
      <w:szCs w:val="24"/>
    </w:rPr>
  </w:style>
  <w:style w:type="character" w:customStyle="1" w:styleId="Heading9Char">
    <w:name w:val="Heading 9 Char"/>
    <w:basedOn w:val="DefaultParagraphFont"/>
    <w:link w:val="Heading9"/>
    <w:uiPriority w:val="9"/>
    <w:rsid w:val="00D11501"/>
    <w:rPr>
      <w:rFonts w:ascii="Arial" w:eastAsiaTheme="majorEastAsia" w:hAnsi="Arial" w:cs="Arial"/>
      <w:color w:val="000000"/>
    </w:rPr>
  </w:style>
  <w:style w:type="paragraph" w:styleId="Title">
    <w:name w:val="Title"/>
    <w:basedOn w:val="NoSpacing"/>
    <w:next w:val="Normal"/>
    <w:link w:val="TitleChar"/>
    <w:uiPriority w:val="10"/>
    <w:qFormat/>
    <w:rsid w:val="00D11501"/>
    <w:pPr>
      <w:jc w:val="center"/>
    </w:pPr>
    <w:rPr>
      <w:rFonts w:eastAsiaTheme="majorEastAsia" w:cstheme="majorBidi"/>
      <w:b/>
      <w:bCs/>
      <w:sz w:val="28"/>
      <w:szCs w:val="28"/>
    </w:rPr>
  </w:style>
  <w:style w:type="character" w:customStyle="1" w:styleId="TitleChar">
    <w:name w:val="Title Char"/>
    <w:basedOn w:val="DefaultParagraphFont"/>
    <w:link w:val="Title"/>
    <w:uiPriority w:val="10"/>
    <w:rsid w:val="00D11501"/>
    <w:rPr>
      <w:rFonts w:ascii="Bookman Old Style" w:eastAsiaTheme="majorEastAsia" w:hAnsi="Bookman Old Style" w:cstheme="majorBidi"/>
      <w:b/>
      <w:bCs/>
      <w:color w:val="000000"/>
      <w:sz w:val="28"/>
      <w:szCs w:val="28"/>
    </w:rPr>
  </w:style>
  <w:style w:type="paragraph" w:styleId="Subtitle">
    <w:name w:val="Subtitle"/>
    <w:basedOn w:val="Normal"/>
    <w:next w:val="Normal"/>
    <w:link w:val="SubtitleChar"/>
    <w:uiPriority w:val="11"/>
    <w:qFormat/>
    <w:rsid w:val="00D11501"/>
    <w:pPr>
      <w:numPr>
        <w:ilvl w:val="1"/>
      </w:numPr>
      <w:spacing w:after="160"/>
      <w:ind w:firstLine="720"/>
    </w:pPr>
    <w:rPr>
      <w:rFonts w:asciiTheme="minorHAnsi" w:eastAsiaTheme="minorEastAsia" w:hAnsiTheme="minorHAnsi" w:cstheme="majorBidi"/>
      <w:color w:val="5A5A5A" w:themeColor="text1" w:themeTint="A5"/>
      <w:spacing w:val="15"/>
    </w:rPr>
  </w:style>
  <w:style w:type="character" w:customStyle="1" w:styleId="SubtitleChar">
    <w:name w:val="Subtitle Char"/>
    <w:basedOn w:val="DefaultParagraphFont"/>
    <w:link w:val="Subtitle"/>
    <w:uiPriority w:val="11"/>
    <w:rsid w:val="00D11501"/>
    <w:rPr>
      <w:rFonts w:eastAsiaTheme="minorEastAsia" w:cstheme="majorBidi"/>
      <w:color w:val="5A5A5A" w:themeColor="text1" w:themeTint="A5"/>
      <w:spacing w:val="15"/>
    </w:rPr>
  </w:style>
  <w:style w:type="paragraph" w:styleId="Quote">
    <w:name w:val="Quote"/>
    <w:basedOn w:val="Normal"/>
    <w:next w:val="Normal"/>
    <w:link w:val="QuoteChar"/>
    <w:uiPriority w:val="29"/>
    <w:qFormat/>
    <w:rsid w:val="00D1150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11501"/>
    <w:rPr>
      <w:rFonts w:ascii="Bookman Old Style" w:hAnsi="Bookman Old Style"/>
      <w:i/>
      <w:iCs/>
      <w:color w:val="404040" w:themeColor="text1" w:themeTint="BF"/>
    </w:rPr>
  </w:style>
  <w:style w:type="paragraph" w:styleId="ListParagraph">
    <w:name w:val="List Paragraph"/>
    <w:basedOn w:val="Normal"/>
    <w:uiPriority w:val="34"/>
    <w:qFormat/>
    <w:rsid w:val="00D11501"/>
    <w:pPr>
      <w:ind w:left="720"/>
    </w:pPr>
  </w:style>
  <w:style w:type="character" w:styleId="IntenseEmphasis">
    <w:name w:val="Intense Emphasis"/>
    <w:basedOn w:val="DefaultParagraphFont"/>
    <w:uiPriority w:val="21"/>
    <w:qFormat/>
    <w:rsid w:val="004E2C0F"/>
    <w:rPr>
      <w:i/>
      <w:iCs/>
      <w:color w:val="4472C4" w:themeColor="accent1"/>
    </w:rPr>
  </w:style>
  <w:style w:type="paragraph" w:styleId="IntenseQuote">
    <w:name w:val="Intense Quote"/>
    <w:basedOn w:val="Normal"/>
    <w:next w:val="Normal"/>
    <w:link w:val="IntenseQuoteChar"/>
    <w:uiPriority w:val="30"/>
    <w:qFormat/>
    <w:rsid w:val="00D1150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11501"/>
    <w:rPr>
      <w:rFonts w:ascii="Bookman Old Style" w:hAnsi="Bookman Old Style"/>
      <w:i/>
      <w:iCs/>
      <w:color w:val="4472C4" w:themeColor="accent1"/>
    </w:rPr>
  </w:style>
  <w:style w:type="character" w:styleId="IntenseReference">
    <w:name w:val="Intense Reference"/>
    <w:basedOn w:val="DefaultParagraphFont"/>
    <w:uiPriority w:val="32"/>
    <w:qFormat/>
    <w:rsid w:val="004E2C0F"/>
    <w:rPr>
      <w:b/>
      <w:bCs/>
      <w:smallCaps/>
      <w:color w:val="4472C4" w:themeColor="accent1"/>
      <w:spacing w:val="5"/>
    </w:rPr>
  </w:style>
  <w:style w:type="table" w:customStyle="1" w:styleId="TableGrid1">
    <w:name w:val="Table Grid1"/>
    <w:basedOn w:val="TableNormal"/>
    <w:uiPriority w:val="99"/>
    <w:rsid w:val="004E2C0F"/>
    <w:pPr>
      <w:widowControl w:val="0"/>
      <w:autoSpaceDE w:val="0"/>
      <w:autoSpaceDN w:val="0"/>
      <w:adjustRightInd w:val="0"/>
      <w:spacing w:after="0" w:line="240" w:lineRule="auto"/>
    </w:pPr>
    <w:rPr>
      <w:rFonts w:ascii="Bookman Old Style" w:hAnsi="Bookman Old Style" w:cs="Times New Roman"/>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hint="default"/>
        <w:b/>
        <w:sz w:val="22"/>
        <w:szCs w:val="22"/>
      </w:rPr>
    </w:tblStylePr>
  </w:style>
  <w:style w:type="paragraph" w:customStyle="1" w:styleId="SJIlist1">
    <w:name w:val="SJI list 1"/>
    <w:basedOn w:val="Normal"/>
    <w:qFormat/>
    <w:rsid w:val="00D11501"/>
    <w:pPr>
      <w:widowControl w:val="0"/>
      <w:autoSpaceDE w:val="0"/>
      <w:autoSpaceDN w:val="0"/>
      <w:adjustRightInd w:val="0"/>
      <w:ind w:left="1296" w:hanging="576"/>
    </w:pPr>
    <w:rPr>
      <w:rFonts w:cs="Times New Roman"/>
    </w:rPr>
  </w:style>
  <w:style w:type="paragraph" w:customStyle="1" w:styleId="SJIText">
    <w:name w:val="SJI Text"/>
    <w:basedOn w:val="Normal"/>
    <w:next w:val="Normal"/>
    <w:qFormat/>
    <w:rsid w:val="00D11501"/>
    <w:rPr>
      <w:rFonts w:cs="Times New Roman"/>
    </w:rPr>
  </w:style>
  <w:style w:type="paragraph" w:customStyle="1" w:styleId="SJIStatuteinTitle">
    <w:name w:val="SJI Statute in Title"/>
    <w:basedOn w:val="Normal"/>
    <w:qFormat/>
    <w:rsid w:val="00D11501"/>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D11501"/>
    <w:pPr>
      <w:tabs>
        <w:tab w:val="left" w:pos="720"/>
      </w:tabs>
      <w:suppressAutoHyphens/>
      <w:spacing w:after="0"/>
    </w:pPr>
    <w:rPr>
      <w:rFonts w:cs="Times New Roman"/>
      <w:i/>
      <w:iCs/>
      <w:szCs w:val="24"/>
    </w:rPr>
  </w:style>
  <w:style w:type="paragraph" w:customStyle="1" w:styleId="SJITableText">
    <w:name w:val="SJI Table Text"/>
    <w:basedOn w:val="Normal"/>
    <w:qFormat/>
    <w:rsid w:val="00D11501"/>
    <w:pPr>
      <w:widowControl w:val="0"/>
      <w:autoSpaceDE w:val="0"/>
      <w:autoSpaceDN w:val="0"/>
      <w:adjustRightInd w:val="0"/>
      <w:spacing w:after="0" w:line="240" w:lineRule="auto"/>
      <w:ind w:firstLine="0"/>
    </w:pPr>
    <w:rPr>
      <w:rFonts w:cs="Times New Roman"/>
      <w:bCs/>
      <w:szCs w:val="20"/>
    </w:rPr>
  </w:style>
  <w:style w:type="paragraph" w:customStyle="1" w:styleId="SJITableTitle">
    <w:name w:val="SJI Table Title"/>
    <w:basedOn w:val="Normal"/>
    <w:qFormat/>
    <w:rsid w:val="00D11501"/>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Comments">
    <w:name w:val="SJI Comments"/>
    <w:basedOn w:val="Normal"/>
    <w:qFormat/>
    <w:rsid w:val="00D11501"/>
    <w:pPr>
      <w:spacing w:before="220"/>
      <w:ind w:firstLine="0"/>
      <w:jc w:val="center"/>
    </w:pPr>
    <w:rPr>
      <w:rFonts w:cs="Courier New"/>
      <w:b/>
    </w:rPr>
  </w:style>
  <w:style w:type="paragraph" w:customStyle="1" w:styleId="SJIInstructionlist1">
    <w:name w:val="SJI Instruction list 1"/>
    <w:basedOn w:val="Normal"/>
    <w:qFormat/>
    <w:rsid w:val="00D11501"/>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D11501"/>
    <w:pPr>
      <w:numPr>
        <w:numId w:val="5"/>
      </w:numPr>
    </w:pPr>
    <w:rPr>
      <w:rFonts w:cs="Times New Roman"/>
    </w:rPr>
  </w:style>
  <w:style w:type="paragraph" w:customStyle="1" w:styleId="SJITableNotation">
    <w:name w:val="SJI Table Notation"/>
    <w:basedOn w:val="SJITableText"/>
    <w:qFormat/>
    <w:rsid w:val="00D11501"/>
    <w:pPr>
      <w:spacing w:before="120" w:after="240"/>
    </w:pPr>
  </w:style>
  <w:style w:type="character" w:customStyle="1" w:styleId="SJIBold">
    <w:name w:val="SJI Bold"/>
    <w:uiPriority w:val="1"/>
    <w:qFormat/>
    <w:rsid w:val="00D11501"/>
    <w:rPr>
      <w:b/>
    </w:rPr>
  </w:style>
  <w:style w:type="paragraph" w:styleId="Caption">
    <w:name w:val="caption"/>
    <w:basedOn w:val="Normal"/>
    <w:next w:val="Normal"/>
    <w:uiPriority w:val="35"/>
    <w:semiHidden/>
    <w:unhideWhenUsed/>
    <w:qFormat/>
    <w:rsid w:val="00D11501"/>
    <w:pPr>
      <w:spacing w:after="200" w:line="240" w:lineRule="auto"/>
    </w:pPr>
    <w:rPr>
      <w:rFonts w:cs="Times New Roman"/>
      <w:i/>
      <w:iCs/>
      <w:color w:val="44546A" w:themeColor="text2"/>
      <w:sz w:val="18"/>
      <w:szCs w:val="18"/>
    </w:rPr>
  </w:style>
  <w:style w:type="paragraph" w:styleId="NoSpacing">
    <w:name w:val="No Spacing"/>
    <w:next w:val="Normal"/>
    <w:link w:val="NoSpacingChar"/>
    <w:uiPriority w:val="1"/>
    <w:qFormat/>
    <w:rsid w:val="00D11501"/>
    <w:pPr>
      <w:spacing w:after="0" w:line="240" w:lineRule="auto"/>
    </w:pPr>
    <w:rPr>
      <w:rFonts w:ascii="Bookman Old Style" w:hAnsi="Bookman Old Style"/>
      <w:color w:val="000000"/>
    </w:rPr>
  </w:style>
  <w:style w:type="paragraph" w:styleId="BodyText">
    <w:name w:val="Body Text"/>
    <w:basedOn w:val="Normal"/>
    <w:link w:val="BodyTextChar"/>
    <w:uiPriority w:val="1"/>
    <w:semiHidden/>
    <w:unhideWhenUsed/>
    <w:qFormat/>
    <w:rsid w:val="00D11501"/>
    <w:pPr>
      <w:spacing w:after="120"/>
    </w:pPr>
    <w:rPr>
      <w:rFonts w:cs="Times New Roman"/>
    </w:rPr>
  </w:style>
  <w:style w:type="character" w:customStyle="1" w:styleId="BodyTextChar">
    <w:name w:val="Body Text Char"/>
    <w:basedOn w:val="DefaultParagraphFont"/>
    <w:link w:val="BodyText"/>
    <w:uiPriority w:val="1"/>
    <w:semiHidden/>
    <w:rsid w:val="00D11501"/>
    <w:rPr>
      <w:rFonts w:ascii="Bookman Old Style" w:hAnsi="Bookman Old Style" w:cs="Times New Roman"/>
      <w:color w:val="000000"/>
    </w:rPr>
  </w:style>
  <w:style w:type="character" w:styleId="Strong">
    <w:name w:val="Strong"/>
    <w:basedOn w:val="DefaultParagraphFont"/>
    <w:uiPriority w:val="22"/>
    <w:qFormat/>
    <w:rsid w:val="00D11501"/>
    <w:rPr>
      <w:rFonts w:cs="Times New Roman"/>
      <w:b/>
      <w:bCs/>
    </w:rPr>
  </w:style>
  <w:style w:type="character" w:styleId="Emphasis">
    <w:name w:val="Emphasis"/>
    <w:basedOn w:val="DefaultParagraphFont"/>
    <w:uiPriority w:val="20"/>
    <w:qFormat/>
    <w:rsid w:val="00D11501"/>
    <w:rPr>
      <w:i/>
      <w:iCs/>
    </w:rPr>
  </w:style>
  <w:style w:type="character" w:customStyle="1" w:styleId="NoSpacingChar">
    <w:name w:val="No Spacing Char"/>
    <w:basedOn w:val="DefaultParagraphFont"/>
    <w:link w:val="NoSpacing"/>
    <w:uiPriority w:val="1"/>
    <w:locked/>
    <w:rsid w:val="00D11501"/>
    <w:rPr>
      <w:rFonts w:ascii="Bookman Old Style" w:hAnsi="Bookman Old Style"/>
      <w:color w:val="000000"/>
    </w:rPr>
  </w:style>
  <w:style w:type="paragraph" w:styleId="TOCHeading">
    <w:name w:val="TOC Heading"/>
    <w:basedOn w:val="Heading1"/>
    <w:next w:val="Normal"/>
    <w:uiPriority w:val="39"/>
    <w:semiHidden/>
    <w:unhideWhenUsed/>
    <w:qFormat/>
    <w:rsid w:val="00D11501"/>
    <w:pPr>
      <w:outlineLvl w:val="9"/>
    </w:pPr>
    <w:rPr>
      <w:rFonts w:cs="Times New Roman"/>
      <w:b w:val="0"/>
      <w:caps w:val="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8217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StandardDocumentApto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837</Words>
  <Characters>4776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 Schneider</dc:creator>
  <cp:keywords/>
  <dc:description/>
  <cp:lastModifiedBy>Ray, Susan D</cp:lastModifiedBy>
  <cp:revision>6</cp:revision>
  <dcterms:created xsi:type="dcterms:W3CDTF">2026-03-22T15:04:00Z</dcterms:created>
  <dcterms:modified xsi:type="dcterms:W3CDTF">2026-03-25T16:32:00Z</dcterms:modified>
</cp:coreProperties>
</file>