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D827" w14:textId="3F9D2DB8" w:rsidR="0056260B" w:rsidRPr="002521E6" w:rsidRDefault="00DA45B2" w:rsidP="00E93D5A">
      <w:pPr>
        <w:pStyle w:val="Heading3"/>
      </w:pPr>
      <w:bookmarkStart w:id="0" w:name="_Toc109650734"/>
      <w:bookmarkStart w:id="1" w:name="_Toc110240115"/>
      <w:bookmarkStart w:id="2" w:name="_Toc110839409"/>
      <w:r w:rsidRPr="002521E6">
        <w:t xml:space="preserve">28.24 </w:t>
      </w:r>
      <w:r w:rsidR="0056260B" w:rsidRPr="002521E6">
        <w:t xml:space="preserve">GIVING </w:t>
      </w:r>
      <w:r w:rsidR="00BC5CE0" w:rsidRPr="002521E6">
        <w:t xml:space="preserve">required </w:t>
      </w:r>
      <w:r w:rsidR="0056260B" w:rsidRPr="002521E6">
        <w:t xml:space="preserve">INFORMATION </w:t>
      </w:r>
      <w:r w:rsidR="004B40AE" w:rsidRPr="002521E6">
        <w:t>CONCERNING A vessel invo</w:t>
      </w:r>
      <w:r w:rsidR="00BC5CE0" w:rsidRPr="002521E6">
        <w:t>lv</w:t>
      </w:r>
      <w:r w:rsidR="004B40AE" w:rsidRPr="002521E6">
        <w:t>ed in an accident</w:t>
      </w:r>
      <w:bookmarkEnd w:id="0"/>
      <w:bookmarkEnd w:id="1"/>
      <w:bookmarkEnd w:id="2"/>
      <w:r w:rsidR="00BC5CE0" w:rsidRPr="002521E6">
        <w:t xml:space="preserve"> that was false or believed </w:t>
      </w:r>
      <w:r w:rsidR="00E93D5A">
        <w:br/>
      </w:r>
      <w:r w:rsidR="00BC5CE0" w:rsidRPr="002521E6">
        <w:t>to be false</w:t>
      </w:r>
    </w:p>
    <w:p w14:paraId="5D620597" w14:textId="6AF9D119" w:rsidR="0056260B" w:rsidRPr="002521E6" w:rsidRDefault="0056260B" w:rsidP="00E93D5A">
      <w:pPr>
        <w:pStyle w:val="SJIStatuteinTitle"/>
      </w:pPr>
      <w:r w:rsidRPr="002521E6">
        <w:t xml:space="preserve">§ </w:t>
      </w:r>
      <w:r w:rsidR="004B40AE" w:rsidRPr="002521E6">
        <w:t>327.</w:t>
      </w:r>
      <w:r w:rsidR="004B40AE" w:rsidRPr="00E93D5A">
        <w:t>3015</w:t>
      </w:r>
      <w:r w:rsidRPr="002521E6">
        <w:t>, Fla. Stat.</w:t>
      </w:r>
    </w:p>
    <w:p w14:paraId="147D5F41" w14:textId="5DA6EB27" w:rsidR="0056260B" w:rsidRPr="002521E6" w:rsidRDefault="0056260B" w:rsidP="0056260B">
      <w:pPr>
        <w:pStyle w:val="SJIText"/>
        <w:rPr>
          <w:b/>
          <w:bCs/>
        </w:rPr>
      </w:pPr>
      <w:r w:rsidRPr="002521E6">
        <w:rPr>
          <w:b/>
          <w:bCs/>
        </w:rPr>
        <w:t xml:space="preserve">To prove the crime of Giving </w:t>
      </w:r>
      <w:r w:rsidR="00BC5CE0" w:rsidRPr="002521E6">
        <w:rPr>
          <w:b/>
          <w:bCs/>
        </w:rPr>
        <w:t>Required</w:t>
      </w:r>
      <w:r w:rsidRPr="002521E6">
        <w:rPr>
          <w:b/>
          <w:bCs/>
        </w:rPr>
        <w:t xml:space="preserve"> Information Concerning </w:t>
      </w:r>
      <w:r w:rsidR="004B40AE" w:rsidRPr="002521E6">
        <w:rPr>
          <w:b/>
          <w:bCs/>
        </w:rPr>
        <w:t>a Vessel Involved in an Accident</w:t>
      </w:r>
      <w:r w:rsidR="00BC5CE0" w:rsidRPr="002521E6">
        <w:rPr>
          <w:b/>
          <w:bCs/>
        </w:rPr>
        <w:t xml:space="preserve"> that was False or Believed to be False</w:t>
      </w:r>
      <w:r w:rsidRPr="002521E6">
        <w:rPr>
          <w:b/>
          <w:bCs/>
        </w:rPr>
        <w:t xml:space="preserve">, the State must prove the following </w:t>
      </w:r>
      <w:r w:rsidR="0001297B" w:rsidRPr="002521E6">
        <w:rPr>
          <w:b/>
          <w:bCs/>
        </w:rPr>
        <w:t>t</w:t>
      </w:r>
      <w:r w:rsidR="00DA45B2" w:rsidRPr="002521E6">
        <w:rPr>
          <w:b/>
          <w:bCs/>
        </w:rPr>
        <w:t>hree</w:t>
      </w:r>
      <w:r w:rsidRPr="002521E6">
        <w:rPr>
          <w:b/>
          <w:bCs/>
        </w:rPr>
        <w:t xml:space="preserve"> elements beyond a reasonable doubt:</w:t>
      </w:r>
    </w:p>
    <w:p w14:paraId="26214FE4" w14:textId="18E413B9" w:rsidR="00DA45B2" w:rsidRPr="002521E6" w:rsidRDefault="0056260B" w:rsidP="00BC5CE0">
      <w:pPr>
        <w:pStyle w:val="SJIComments"/>
        <w:numPr>
          <w:ilvl w:val="0"/>
          <w:numId w:val="3"/>
        </w:numPr>
        <w:ind w:left="1170" w:hanging="450"/>
        <w:jc w:val="left"/>
      </w:pPr>
      <w:r w:rsidRPr="002521E6">
        <w:rPr>
          <w:b w:val="0"/>
          <w:bCs/>
        </w:rPr>
        <w:t>(Defendant)</w:t>
      </w:r>
      <w:r w:rsidRPr="002521E6">
        <w:t xml:space="preserve"> </w:t>
      </w:r>
      <w:r w:rsidR="00BC5CE0" w:rsidRPr="002521E6">
        <w:rPr>
          <w:rFonts w:eastAsia="Aptos" w:cs="Times New Roman"/>
          <w:bCs/>
          <w:kern w:val="2"/>
        </w:rPr>
        <w:t xml:space="preserve">was </w:t>
      </w:r>
      <w:r w:rsidR="004F6357" w:rsidRPr="002521E6">
        <w:rPr>
          <w:rFonts w:eastAsia="Aptos" w:cs="Times New Roman"/>
          <w:bCs/>
          <w:kern w:val="2"/>
        </w:rPr>
        <w:t>[</w:t>
      </w:r>
      <w:r w:rsidR="00BC5CE0" w:rsidRPr="002521E6">
        <w:rPr>
          <w:rFonts w:eastAsia="Aptos" w:cs="Times New Roman"/>
          <w:bCs/>
          <w:kern w:val="2"/>
        </w:rPr>
        <w:t>the operator of a vessel</w:t>
      </w:r>
      <w:r w:rsidR="004F6357" w:rsidRPr="002521E6">
        <w:rPr>
          <w:rFonts w:eastAsia="Aptos" w:cs="Times New Roman"/>
          <w:bCs/>
          <w:kern w:val="2"/>
        </w:rPr>
        <w:t>] [a witness to a vessel</w:t>
      </w:r>
      <w:r w:rsidR="00434D96" w:rsidRPr="002521E6">
        <w:rPr>
          <w:rFonts w:eastAsia="Aptos" w:cs="Times New Roman"/>
          <w:bCs/>
          <w:kern w:val="2"/>
        </w:rPr>
        <w:t>]</w:t>
      </w:r>
      <w:r w:rsidR="004F6357" w:rsidRPr="002521E6">
        <w:rPr>
          <w:rFonts w:eastAsia="Aptos" w:cs="Times New Roman"/>
          <w:bCs/>
          <w:kern w:val="2"/>
        </w:rPr>
        <w:t xml:space="preserve"> </w:t>
      </w:r>
      <w:r w:rsidR="000140F0" w:rsidRPr="002521E6">
        <w:rPr>
          <w:rFonts w:eastAsia="Aptos" w:cs="Times New Roman"/>
          <w:bCs/>
          <w:kern w:val="2"/>
        </w:rPr>
        <w:t xml:space="preserve">[the owner of a vessel] </w:t>
      </w:r>
      <w:r w:rsidR="00893554" w:rsidRPr="002521E6">
        <w:rPr>
          <w:rFonts w:eastAsia="Aptos" w:cs="Times New Roman"/>
          <w:bCs/>
          <w:kern w:val="2"/>
        </w:rPr>
        <w:t xml:space="preserve">[the person who leased, rented, or chartered a vessel] </w:t>
      </w:r>
      <w:r w:rsidR="004F6357" w:rsidRPr="002521E6">
        <w:rPr>
          <w:rFonts w:eastAsia="Aptos" w:cs="Times New Roman"/>
          <w:bCs/>
          <w:kern w:val="2"/>
        </w:rPr>
        <w:t>that was</w:t>
      </w:r>
      <w:r w:rsidR="00BC5CE0" w:rsidRPr="002521E6">
        <w:rPr>
          <w:rFonts w:eastAsia="Aptos" w:cs="Times New Roman"/>
          <w:bCs/>
          <w:kern w:val="2"/>
        </w:rPr>
        <w:t xml:space="preserve"> involved in an accident</w:t>
      </w:r>
      <w:r w:rsidR="000140F0" w:rsidRPr="002521E6">
        <w:rPr>
          <w:rFonts w:eastAsia="Aptos" w:cs="Times New Roman"/>
          <w:bCs/>
          <w:kern w:val="2"/>
        </w:rPr>
        <w:t>.</w:t>
      </w:r>
    </w:p>
    <w:p w14:paraId="5D4FA72E" w14:textId="32D9FE74" w:rsidR="00BC5CE0" w:rsidRPr="002521E6" w:rsidRDefault="00DA45B2" w:rsidP="00BC5CE0">
      <w:pPr>
        <w:pStyle w:val="SJIComments"/>
        <w:numPr>
          <w:ilvl w:val="0"/>
          <w:numId w:val="3"/>
        </w:numPr>
        <w:ind w:left="1170" w:hanging="450"/>
        <w:jc w:val="left"/>
      </w:pPr>
      <w:r w:rsidRPr="002521E6">
        <w:rPr>
          <w:b w:val="0"/>
          <w:bCs/>
        </w:rPr>
        <w:t>(Defendant)</w:t>
      </w:r>
      <w:r w:rsidR="00BC5CE0" w:rsidRPr="002521E6">
        <w:t xml:space="preserve"> </w:t>
      </w:r>
      <w:r w:rsidR="0056260B" w:rsidRPr="002521E6">
        <w:t xml:space="preserve">gave information </w:t>
      </w:r>
      <w:r w:rsidR="004B40AE" w:rsidRPr="002521E6">
        <w:t xml:space="preserve">[orally] [electronically] [in a written report] </w:t>
      </w:r>
      <w:r w:rsidR="00A14BDB" w:rsidRPr="002521E6">
        <w:t xml:space="preserve">to </w:t>
      </w:r>
      <w:r w:rsidR="000156B5" w:rsidRPr="002521E6">
        <w:t xml:space="preserve">[The </w:t>
      </w:r>
      <w:r w:rsidR="000156B5" w:rsidRPr="002521E6">
        <w:rPr>
          <w:bCs/>
          <w:color w:val="000000"/>
          <w:shd w:val="clear" w:color="auto" w:fill="FFFFFF"/>
        </w:rPr>
        <w:t xml:space="preserve">Division of Law Enforcement of the Fish and Wildlife Conservation Commission] [the office of the sheriff] [an investigating police officer] </w:t>
      </w:r>
      <w:r w:rsidR="0056260B" w:rsidRPr="002521E6">
        <w:t>about</w:t>
      </w:r>
      <w:r w:rsidR="004B40AE" w:rsidRPr="002521E6">
        <w:t xml:space="preserve"> </w:t>
      </w:r>
      <w:r w:rsidRPr="002521E6">
        <w:t>the</w:t>
      </w:r>
      <w:r w:rsidR="004B40AE" w:rsidRPr="002521E6">
        <w:t xml:space="preserve"> </w:t>
      </w:r>
      <w:r w:rsidR="00893554" w:rsidRPr="002521E6">
        <w:t xml:space="preserve">boating </w:t>
      </w:r>
      <w:r w:rsidR="004B40AE" w:rsidRPr="002521E6">
        <w:t xml:space="preserve">accident </w:t>
      </w:r>
      <w:r w:rsidR="004F6357" w:rsidRPr="002521E6">
        <w:t xml:space="preserve">that was required </w:t>
      </w:r>
      <w:r w:rsidR="00A14BDB" w:rsidRPr="002521E6">
        <w:t xml:space="preserve">to be provided </w:t>
      </w:r>
      <w:r w:rsidR="004F6357" w:rsidRPr="002521E6">
        <w:t>under Florida law</w:t>
      </w:r>
      <w:r w:rsidR="00A14BDB" w:rsidRPr="002521E6">
        <w:t>.</w:t>
      </w:r>
      <w:r w:rsidR="00BC5CE0" w:rsidRPr="002521E6">
        <w:t> </w:t>
      </w:r>
    </w:p>
    <w:p w14:paraId="4EAF5B18" w14:textId="318F9DC4" w:rsidR="0056260B" w:rsidRPr="002521E6" w:rsidRDefault="00BC5CE0" w:rsidP="0056260B">
      <w:pPr>
        <w:numPr>
          <w:ilvl w:val="0"/>
          <w:numId w:val="3"/>
        </w:numPr>
        <w:ind w:left="1152" w:hanging="432"/>
      </w:pPr>
      <w:r w:rsidRPr="002521E6">
        <w:rPr>
          <w:b/>
          <w:bCs/>
        </w:rPr>
        <w:t xml:space="preserve">At the time </w:t>
      </w:r>
      <w:r w:rsidR="00DA45B2" w:rsidRPr="002521E6">
        <w:t>(defendant)</w:t>
      </w:r>
      <w:r w:rsidRPr="002521E6">
        <w:rPr>
          <w:b/>
          <w:bCs/>
        </w:rPr>
        <w:t xml:space="preserve"> </w:t>
      </w:r>
      <w:r w:rsidR="000A48BF" w:rsidRPr="002521E6">
        <w:rPr>
          <w:b/>
          <w:bCs/>
        </w:rPr>
        <w:t xml:space="preserve">gave the information, [he] [she] </w:t>
      </w:r>
      <w:r w:rsidR="00DA45B2" w:rsidRPr="002521E6">
        <w:rPr>
          <w:b/>
          <w:bCs/>
        </w:rPr>
        <w:t xml:space="preserve">either </w:t>
      </w:r>
      <w:r w:rsidR="0056260B" w:rsidRPr="002521E6">
        <w:rPr>
          <w:b/>
          <w:bCs/>
        </w:rPr>
        <w:t>knew</w:t>
      </w:r>
      <w:r w:rsidR="00DA45B2" w:rsidRPr="002521E6">
        <w:rPr>
          <w:b/>
          <w:bCs/>
        </w:rPr>
        <w:t xml:space="preserve"> t</w:t>
      </w:r>
      <w:r w:rsidR="0056260B" w:rsidRPr="002521E6">
        <w:rPr>
          <w:b/>
          <w:bCs/>
        </w:rPr>
        <w:t>he information was false</w:t>
      </w:r>
      <w:r w:rsidRPr="002521E6">
        <w:rPr>
          <w:b/>
          <w:bCs/>
        </w:rPr>
        <w:t xml:space="preserve"> or [he] [she] had reason to believe the information was false.</w:t>
      </w:r>
    </w:p>
    <w:p w14:paraId="14733DF3" w14:textId="77777777" w:rsidR="00E93D5A" w:rsidRDefault="00893554" w:rsidP="00E93D5A">
      <w:pPr>
        <w:pStyle w:val="SJITextItalic"/>
        <w:rPr>
          <w:b/>
        </w:rPr>
      </w:pPr>
      <w:r w:rsidRPr="002521E6">
        <w:t>§ 327.</w:t>
      </w:r>
      <w:r w:rsidRPr="00E93D5A">
        <w:t>301</w:t>
      </w:r>
      <w:r w:rsidRPr="002521E6">
        <w:t>, Fla. Stat.</w:t>
      </w:r>
    </w:p>
    <w:p w14:paraId="561BAAD7" w14:textId="579CAA8C" w:rsidR="000A48BF" w:rsidRPr="003B428E" w:rsidRDefault="004F6357" w:rsidP="003B428E">
      <w:pPr>
        <w:rPr>
          <w:b/>
          <w:bCs/>
          <w:color w:val="000000"/>
          <w:shd w:val="clear" w:color="auto" w:fill="FFFFFF"/>
        </w:rPr>
      </w:pPr>
      <w:r w:rsidRPr="003B428E">
        <w:rPr>
          <w:b/>
          <w:bCs/>
        </w:rPr>
        <w:t>Florida law requires the o</w:t>
      </w:r>
      <w:r w:rsidR="004B40AE" w:rsidRPr="003B428E">
        <w:rPr>
          <w:b/>
          <w:bCs/>
        </w:rPr>
        <w:t xml:space="preserve">perator of a vessel </w:t>
      </w:r>
      <w:r w:rsidR="000140F0" w:rsidRPr="003B428E">
        <w:rPr>
          <w:b/>
          <w:bCs/>
        </w:rPr>
        <w:t xml:space="preserve">that is in any manner involved in an accident resulting in bodily injury, death, or disappearance of any person or damage to any vessel or other property in an apparent aggregate amount of at least $2,000 </w:t>
      </w:r>
      <w:r w:rsidRPr="003B428E">
        <w:rPr>
          <w:b/>
          <w:bCs/>
        </w:rPr>
        <w:t>to report</w:t>
      </w:r>
      <w:r w:rsidR="000156B5" w:rsidRPr="003B428E">
        <w:rPr>
          <w:b/>
          <w:bCs/>
        </w:rPr>
        <w:t xml:space="preserve"> to The </w:t>
      </w:r>
      <w:r w:rsidR="000156B5" w:rsidRPr="003B428E">
        <w:rPr>
          <w:b/>
          <w:bCs/>
          <w:color w:val="000000"/>
          <w:shd w:val="clear" w:color="auto" w:fill="FFFFFF"/>
        </w:rPr>
        <w:t xml:space="preserve">Division of Law Enforcement of the Fish and Wildlife Conservation Commission or the office of the sheriff or an investigating police officer </w:t>
      </w:r>
      <w:r w:rsidRPr="003B428E">
        <w:rPr>
          <w:b/>
          <w:bCs/>
          <w:color w:val="000000"/>
          <w:shd w:val="clear" w:color="auto" w:fill="FFFFFF"/>
        </w:rPr>
        <w:t xml:space="preserve">the cause and conditions existing at the time of the boating accident and the persons and vessels involved. The operator </w:t>
      </w:r>
      <w:r w:rsidR="000140F0" w:rsidRPr="003B428E">
        <w:rPr>
          <w:b/>
          <w:bCs/>
          <w:color w:val="000000"/>
          <w:shd w:val="clear" w:color="auto" w:fill="FFFFFF"/>
        </w:rPr>
        <w:t xml:space="preserve">of the vessel </w:t>
      </w:r>
      <w:r w:rsidRPr="003B428E">
        <w:rPr>
          <w:b/>
          <w:bCs/>
          <w:color w:val="000000"/>
          <w:shd w:val="clear" w:color="auto" w:fill="FFFFFF"/>
        </w:rPr>
        <w:t>may also be require</w:t>
      </w:r>
      <w:r w:rsidR="000140F0" w:rsidRPr="003B428E">
        <w:rPr>
          <w:b/>
          <w:bCs/>
          <w:color w:val="000000"/>
          <w:shd w:val="clear" w:color="auto" w:fill="FFFFFF"/>
        </w:rPr>
        <w:t>d</w:t>
      </w:r>
      <w:r w:rsidRPr="003B428E">
        <w:rPr>
          <w:b/>
          <w:bCs/>
          <w:color w:val="000000"/>
          <w:shd w:val="clear" w:color="auto" w:fill="FFFFFF"/>
        </w:rPr>
        <w:t xml:space="preserve"> </w:t>
      </w:r>
      <w:r w:rsidR="000140F0" w:rsidRPr="003B428E">
        <w:rPr>
          <w:b/>
          <w:bCs/>
          <w:color w:val="000000"/>
          <w:shd w:val="clear" w:color="auto" w:fill="FFFFFF"/>
        </w:rPr>
        <w:t xml:space="preserve">to provide </w:t>
      </w:r>
      <w:r w:rsidRPr="003B428E">
        <w:rPr>
          <w:b/>
          <w:bCs/>
          <w:color w:val="000000"/>
          <w:shd w:val="clear" w:color="auto" w:fill="FFFFFF"/>
        </w:rPr>
        <w:t>the policy numbers of liability insurance and the names of carriers covering any vessel involved in an accident.</w:t>
      </w:r>
    </w:p>
    <w:p w14:paraId="282BE11D" w14:textId="1624F01A" w:rsidR="000A48BF" w:rsidRPr="002521E6" w:rsidRDefault="000A48BF" w:rsidP="003B428E">
      <w:pPr>
        <w:pStyle w:val="SJITextItalic"/>
        <w:rPr>
          <w:b/>
          <w:shd w:val="clear" w:color="auto" w:fill="FFFFFF"/>
        </w:rPr>
      </w:pPr>
      <w:proofErr w:type="gramStart"/>
      <w:r w:rsidRPr="002521E6">
        <w:rPr>
          <w:shd w:val="clear" w:color="auto" w:fill="FFFFFF"/>
        </w:rPr>
        <w:t>Give</w:t>
      </w:r>
      <w:proofErr w:type="gramEnd"/>
      <w:r w:rsidRPr="002521E6">
        <w:rPr>
          <w:shd w:val="clear" w:color="auto" w:fill="FFFFFF"/>
        </w:rPr>
        <w:t xml:space="preserve"> if applicable.</w:t>
      </w:r>
    </w:p>
    <w:p w14:paraId="3667EF3A" w14:textId="77777777" w:rsidR="000A48BF" w:rsidRPr="003B428E" w:rsidRDefault="000A48BF" w:rsidP="003B428E">
      <w:pPr>
        <w:rPr>
          <w:b/>
          <w:bCs/>
          <w:i/>
          <w:iCs/>
          <w:shd w:val="clear" w:color="auto" w:fill="FFFFFF"/>
        </w:rPr>
      </w:pPr>
      <w:r w:rsidRPr="003B428E">
        <w:rPr>
          <w:b/>
          <w:bCs/>
          <w:shd w:val="clear" w:color="auto" w:fill="FFFFFF"/>
        </w:rPr>
        <w:t>The Division of Law Enforcement of the Fish and Wildlife Conservation Commission may require any witness to the accident to provide such a report.</w:t>
      </w:r>
    </w:p>
    <w:p w14:paraId="4B62CC0D" w14:textId="10787704" w:rsidR="00A14BDB" w:rsidRPr="002521E6" w:rsidRDefault="00A14BDB" w:rsidP="003B428E">
      <w:pPr>
        <w:pStyle w:val="SJITextItalic"/>
        <w:rPr>
          <w:b/>
          <w:shd w:val="clear" w:color="auto" w:fill="FFFFFF"/>
        </w:rPr>
      </w:pPr>
      <w:proofErr w:type="gramStart"/>
      <w:r w:rsidRPr="002521E6">
        <w:rPr>
          <w:shd w:val="clear" w:color="auto" w:fill="FFFFFF"/>
        </w:rPr>
        <w:t>Give</w:t>
      </w:r>
      <w:proofErr w:type="gramEnd"/>
      <w:r w:rsidRPr="002521E6">
        <w:rPr>
          <w:shd w:val="clear" w:color="auto" w:fill="FFFFFF"/>
        </w:rPr>
        <w:t xml:space="preserve"> if applicable. </w:t>
      </w:r>
    </w:p>
    <w:p w14:paraId="20C636CA" w14:textId="6C7E6564" w:rsidR="00A14BDB" w:rsidRPr="003B428E" w:rsidRDefault="00A14BDB" w:rsidP="003B428E">
      <w:pPr>
        <w:rPr>
          <w:b/>
          <w:bCs/>
          <w:shd w:val="clear" w:color="auto" w:fill="FFFFFF"/>
        </w:rPr>
      </w:pPr>
      <w:r w:rsidRPr="003B428E">
        <w:rPr>
          <w:b/>
          <w:bCs/>
          <w:shd w:val="clear" w:color="auto" w:fill="FFFFFF"/>
        </w:rPr>
        <w:t>Whenever the operator of the vessel is incapable of making a written</w:t>
      </w:r>
      <w:r w:rsidR="003B428E" w:rsidRPr="003B428E">
        <w:rPr>
          <w:b/>
          <w:bCs/>
          <w:shd w:val="clear" w:color="auto" w:fill="FFFFFF"/>
        </w:rPr>
        <w:t xml:space="preserve"> </w:t>
      </w:r>
      <w:r w:rsidRPr="003B428E">
        <w:rPr>
          <w:b/>
          <w:bCs/>
          <w:shd w:val="clear" w:color="auto" w:fill="FFFFFF"/>
        </w:rPr>
        <w:t>report, the owner of the vessel must make the report not made by the operator.</w:t>
      </w:r>
    </w:p>
    <w:p w14:paraId="5BABAFBB" w14:textId="5ED6E826" w:rsidR="00A14BDB" w:rsidRPr="002521E6" w:rsidRDefault="00A14BDB" w:rsidP="003B428E">
      <w:pPr>
        <w:pStyle w:val="SJITextItalic"/>
        <w:rPr>
          <w:b/>
          <w:shd w:val="clear" w:color="auto" w:fill="FFFFFF"/>
        </w:rPr>
      </w:pPr>
      <w:proofErr w:type="gramStart"/>
      <w:r w:rsidRPr="002521E6">
        <w:rPr>
          <w:shd w:val="clear" w:color="auto" w:fill="FFFFFF"/>
        </w:rPr>
        <w:t>Give</w:t>
      </w:r>
      <w:proofErr w:type="gramEnd"/>
      <w:r w:rsidRPr="002521E6">
        <w:rPr>
          <w:shd w:val="clear" w:color="auto" w:fill="FFFFFF"/>
        </w:rPr>
        <w:t xml:space="preserve"> if applicable</w:t>
      </w:r>
      <w:r w:rsidR="003B428E">
        <w:rPr>
          <w:b/>
          <w:shd w:val="clear" w:color="auto" w:fill="FFFFFF"/>
        </w:rPr>
        <w:t>.</w:t>
      </w:r>
      <w:r w:rsidRPr="002521E6">
        <w:rPr>
          <w:shd w:val="clear" w:color="auto" w:fill="FFFFFF"/>
        </w:rPr>
        <w:t xml:space="preserve"> </w:t>
      </w:r>
    </w:p>
    <w:p w14:paraId="6481759E" w14:textId="77777777" w:rsidR="00A14BDB" w:rsidRPr="003B428E" w:rsidRDefault="00A14BDB" w:rsidP="003B428E">
      <w:pPr>
        <w:rPr>
          <w:b/>
          <w:bCs/>
          <w:shd w:val="clear" w:color="auto" w:fill="FFFFFF"/>
        </w:rPr>
      </w:pPr>
      <w:r w:rsidRPr="003B428E">
        <w:rPr>
          <w:b/>
          <w:bCs/>
          <w:shd w:val="clear" w:color="auto" w:fill="FFFFFF"/>
        </w:rPr>
        <w:t>If the vessel was leased, rented, or chartered at the time of the accident, the person who offered the vessel for lease, rental, or charter is responsible for making the report.</w:t>
      </w:r>
    </w:p>
    <w:p w14:paraId="0DE5008F" w14:textId="77777777" w:rsidR="003B428E" w:rsidRDefault="003B428E">
      <w:pPr>
        <w:spacing w:after="160"/>
        <w:ind w:firstLine="0"/>
        <w:rPr>
          <w:rFonts w:eastAsia="Aptos" w:cs="Times New Roman"/>
          <w:bCs/>
          <w:i/>
          <w:iCs/>
          <w:kern w:val="2"/>
        </w:rPr>
      </w:pPr>
      <w:r>
        <w:rPr>
          <w:rFonts w:eastAsia="Aptos" w:cs="Times New Roman"/>
          <w:b/>
          <w:bCs/>
          <w:i/>
          <w:iCs/>
          <w:kern w:val="2"/>
        </w:rPr>
        <w:br w:type="page"/>
      </w:r>
    </w:p>
    <w:p w14:paraId="6227EA7D" w14:textId="405BA8AD" w:rsidR="00DA45B2" w:rsidRPr="002521E6" w:rsidRDefault="00DA45B2" w:rsidP="003B428E">
      <w:pPr>
        <w:pStyle w:val="SJITextItalic"/>
        <w:rPr>
          <w:rFonts w:eastAsia="Aptos"/>
          <w:b/>
        </w:rPr>
      </w:pPr>
      <w:r w:rsidRPr="002521E6">
        <w:rPr>
          <w:rFonts w:eastAsia="Aptos"/>
        </w:rPr>
        <w:t>§ 327.02, Fla. Stat.</w:t>
      </w:r>
    </w:p>
    <w:p w14:paraId="305B99B9" w14:textId="5F82E6CC" w:rsidR="00DA45B2" w:rsidRPr="003B428E" w:rsidRDefault="00DA45B2" w:rsidP="003B428E">
      <w:pPr>
        <w:rPr>
          <w:rFonts w:eastAsia="Aptos"/>
          <w:b/>
          <w:bCs/>
        </w:rPr>
      </w:pPr>
      <w:r w:rsidRPr="003B428E">
        <w:rPr>
          <w:rFonts w:eastAsia="Aptos"/>
          <w:b/>
          <w:bCs/>
        </w:rPr>
        <w:t>To be the “operator of a vessel” 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Florida.</w:t>
      </w:r>
    </w:p>
    <w:p w14:paraId="45251FA7" w14:textId="3BDD1752" w:rsidR="00DA45B2" w:rsidRPr="002521E6" w:rsidRDefault="00DA45B2" w:rsidP="003B428E">
      <w:pPr>
        <w:pStyle w:val="SJITextItalic"/>
        <w:rPr>
          <w:rFonts w:eastAsia="Aptos"/>
        </w:rPr>
      </w:pPr>
      <w:r w:rsidRPr="002521E6">
        <w:rPr>
          <w:rFonts w:eastAsia="Aptos"/>
        </w:rPr>
        <w:t>§ 327.02, Fla. Stat.; State v. Davis, 110 So. 3d 27 (Fla. 2d DCA 2013).</w:t>
      </w:r>
    </w:p>
    <w:p w14:paraId="3C3C3484" w14:textId="77777777" w:rsidR="00DA45B2" w:rsidRPr="002521E6" w:rsidRDefault="00DA45B2" w:rsidP="003B428E">
      <w:pPr>
        <w:rPr>
          <w:rFonts w:eastAsia="Aptos" w:cs="Times New Roman"/>
          <w:kern w:val="2"/>
        </w:rPr>
      </w:pPr>
      <w:r w:rsidRPr="002521E6">
        <w:rPr>
          <w:rFonts w:eastAsia="Aptos" w:cs="Times New Roman"/>
          <w:b/>
          <w:bCs/>
          <w:kern w:val="2"/>
        </w:rPr>
        <w:t>“Vessel” means a boat and includes every description of watercraft, barge, and airboat, other than a seaplane, on the water used or capable of being used as a means of transportation on water.</w:t>
      </w:r>
      <w:r w:rsidRPr="002521E6">
        <w:rPr>
          <w:rFonts w:eastAsia="Aptos" w:cs="Times New Roman"/>
          <w:kern w:val="2"/>
        </w:rPr>
        <w:t> </w:t>
      </w:r>
    </w:p>
    <w:p w14:paraId="6CB7868A" w14:textId="55F23642" w:rsidR="00DA45B2" w:rsidRPr="002521E6" w:rsidRDefault="00DA45B2" w:rsidP="003B428E">
      <w:pPr>
        <w:pStyle w:val="SJITextItalic"/>
        <w:rPr>
          <w:rFonts w:eastAsia="Aptos"/>
        </w:rPr>
      </w:pPr>
      <w:r w:rsidRPr="002521E6">
        <w:rPr>
          <w:rFonts w:eastAsia="Aptos"/>
        </w:rPr>
        <w:t>Gaulden v. State, 195 So. 3d 1123 (Fla. 2016); State v. Elder, 975 So.2d 481 (Fla. 2d DCA 2007).</w:t>
      </w:r>
    </w:p>
    <w:p w14:paraId="57B14D20" w14:textId="77777777" w:rsidR="00DA45B2" w:rsidRPr="002521E6" w:rsidRDefault="00DA45B2" w:rsidP="003B428E">
      <w:pPr>
        <w:rPr>
          <w:rFonts w:eastAsia="Aptos" w:cs="Times New Roman"/>
          <w:kern w:val="2"/>
        </w:rPr>
      </w:pPr>
      <w:r w:rsidRPr="002521E6">
        <w:rPr>
          <w:rFonts w:eastAsia="Aptos" w:cs="Times New Roman"/>
          <w:b/>
          <w:bCs/>
          <w:kern w:val="2"/>
        </w:rPr>
        <w:t>To be “involved in an accident,” a vessel, though not necessarily the defendant’s vessel, must collide with another vessel, person, or object.</w:t>
      </w:r>
      <w:r w:rsidRPr="002521E6">
        <w:rPr>
          <w:rFonts w:eastAsia="Aptos" w:cs="Times New Roman"/>
          <w:kern w:val="2"/>
        </w:rPr>
        <w:t> </w:t>
      </w:r>
    </w:p>
    <w:p w14:paraId="2225A01F" w14:textId="77777777" w:rsidR="00DA45B2" w:rsidRPr="002521E6" w:rsidRDefault="00DA45B2" w:rsidP="003B428E">
      <w:pPr>
        <w:pStyle w:val="SJITextItalic"/>
        <w:rPr>
          <w:rFonts w:eastAsia="Aptos"/>
        </w:rPr>
      </w:pPr>
      <w:proofErr w:type="gramStart"/>
      <w:r w:rsidRPr="002521E6">
        <w:rPr>
          <w:rFonts w:eastAsia="Aptos"/>
        </w:rPr>
        <w:t>Give</w:t>
      </w:r>
      <w:proofErr w:type="gramEnd"/>
      <w:r w:rsidRPr="002521E6">
        <w:rPr>
          <w:rFonts w:eastAsia="Aptos"/>
        </w:rPr>
        <w:t xml:space="preserve"> if applicable. State v. Elder, 975 So.2d 481 (Fla. 2d DCA 2007).  </w:t>
      </w:r>
    </w:p>
    <w:p w14:paraId="187C8301" w14:textId="77777777" w:rsidR="00DA45B2" w:rsidRPr="002521E6" w:rsidRDefault="00DA45B2" w:rsidP="003B428E">
      <w:pPr>
        <w:rPr>
          <w:rFonts w:eastAsia="Aptos" w:cs="Times New Roman"/>
          <w:kern w:val="2"/>
        </w:rPr>
      </w:pPr>
      <w:r w:rsidRPr="002521E6">
        <w:rPr>
          <w:rFonts w:eastAsia="Aptos" w:cs="Times New Roman"/>
          <w:b/>
          <w:bCs/>
          <w:kern w:val="2"/>
        </w:rPr>
        <w:t xml:space="preserve">“Involved” means to draw in as a participant, to implicate, to relate closely, to connect, to </w:t>
      </w:r>
      <w:proofErr w:type="gramStart"/>
      <w:r w:rsidRPr="002521E6">
        <w:rPr>
          <w:rFonts w:eastAsia="Aptos" w:cs="Times New Roman"/>
          <w:b/>
          <w:bCs/>
          <w:kern w:val="2"/>
        </w:rPr>
        <w:t>have an effect on</w:t>
      </w:r>
      <w:proofErr w:type="gramEnd"/>
      <w:r w:rsidRPr="002521E6">
        <w:rPr>
          <w:rFonts w:eastAsia="Aptos" w:cs="Times New Roman"/>
          <w:b/>
          <w:bCs/>
          <w:kern w:val="2"/>
        </w:rPr>
        <w:t>, to concern directly, or to affect.</w:t>
      </w:r>
      <w:r w:rsidRPr="002521E6">
        <w:rPr>
          <w:rFonts w:eastAsia="Aptos" w:cs="Times New Roman"/>
          <w:kern w:val="2"/>
        </w:rPr>
        <w:t> </w:t>
      </w:r>
    </w:p>
    <w:p w14:paraId="148E9DF1" w14:textId="77777777" w:rsidR="0056260B" w:rsidRPr="002521E6" w:rsidRDefault="0056260B" w:rsidP="0056260B">
      <w:pPr>
        <w:pStyle w:val="SJIComments"/>
      </w:pPr>
      <w:r w:rsidRPr="002521E6">
        <w:t>Lesser Included Offenses</w:t>
      </w:r>
    </w:p>
    <w:p w14:paraId="3E4DD89A" w14:textId="77777777" w:rsidR="0056260B" w:rsidRPr="002521E6" w:rsidRDefault="0056260B" w:rsidP="0056260B">
      <w:r w:rsidRPr="002521E6">
        <w:t xml:space="preserve">No lesser included offenses have been identified for this offense.  </w:t>
      </w:r>
    </w:p>
    <w:p w14:paraId="4B7B72AC" w14:textId="14EF13CC" w:rsidR="0056260B" w:rsidRPr="002521E6" w:rsidRDefault="0056260B" w:rsidP="0056260B">
      <w:pPr>
        <w:pStyle w:val="SJIComments"/>
      </w:pPr>
      <w:r w:rsidRPr="002521E6">
        <w:t>Comment</w:t>
      </w:r>
      <w:r w:rsidR="00434D96" w:rsidRPr="002521E6">
        <w:t>s</w:t>
      </w:r>
    </w:p>
    <w:p w14:paraId="75EB60FF" w14:textId="61F4FBDD" w:rsidR="00434D96" w:rsidRPr="002521E6" w:rsidRDefault="00434D96" w:rsidP="0056260B">
      <w:pPr>
        <w:tabs>
          <w:tab w:val="left" w:pos="7353"/>
        </w:tabs>
      </w:pPr>
      <w:r w:rsidRPr="002521E6">
        <w:t>A special instruction will be necessary if the defendant is alleged to have given false information on a report other than the report required by § 327.301, Fla. Stat.</w:t>
      </w:r>
    </w:p>
    <w:p w14:paraId="292301E3" w14:textId="6ADBEA89" w:rsidR="009435D1" w:rsidRPr="00434D96" w:rsidRDefault="0056260B" w:rsidP="003B428E">
      <w:pPr>
        <w:tabs>
          <w:tab w:val="left" w:pos="7353"/>
        </w:tabs>
      </w:pPr>
      <w:r w:rsidRPr="002521E6">
        <w:t xml:space="preserve">This instruction was adopted </w:t>
      </w:r>
      <w:r w:rsidR="004B40AE" w:rsidRPr="002521E6">
        <w:t>o</w:t>
      </w:r>
      <w:r w:rsidRPr="002521E6">
        <w:t xml:space="preserve">n </w:t>
      </w:r>
      <w:r w:rsidR="006E7A82" w:rsidRPr="002521E6">
        <w:t xml:space="preserve">March 20, </w:t>
      </w:r>
      <w:r w:rsidR="004B40AE" w:rsidRPr="002521E6">
        <w:t>202</w:t>
      </w:r>
      <w:r w:rsidR="00731AAE" w:rsidRPr="002521E6">
        <w:t>6</w:t>
      </w:r>
      <w:r w:rsidRPr="002521E6">
        <w:t>.</w:t>
      </w:r>
    </w:p>
    <w:sectPr w:rsidR="009435D1" w:rsidRPr="00434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953"/>
    <w:multiLevelType w:val="hybridMultilevel"/>
    <w:tmpl w:val="FFFFFFFF"/>
    <w:lvl w:ilvl="0" w:tplc="5C800C8E">
      <w:start w:val="1"/>
      <w:numFmt w:val="decimal"/>
      <w:lvlText w:val="%1."/>
      <w:lvlJc w:val="left"/>
      <w:pPr>
        <w:ind w:left="1080" w:hanging="360"/>
      </w:pPr>
      <w:rPr>
        <w:rFonts w:cs="Times New Roman" w:hint="default"/>
        <w:b/>
        <w:u w:val="no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5BD009C"/>
    <w:multiLevelType w:val="hybridMultilevel"/>
    <w:tmpl w:val="B5C4B768"/>
    <w:lvl w:ilvl="0" w:tplc="BB600C0A">
      <w:start w:val="1"/>
      <w:numFmt w:val="decimal"/>
      <w:lvlText w:val="%1."/>
      <w:lvlJc w:val="left"/>
      <w:pPr>
        <w:ind w:left="1440" w:hanging="360"/>
      </w:pPr>
      <w:rPr>
        <w:rFonts w:ascii="Bookman Old Style" w:eastAsia="Times New Roman" w:hAnsi="Bookman Old Style" w:cs="Courier New"/>
        <w:b/>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66378531">
    <w:abstractNumId w:val="3"/>
  </w:num>
  <w:num w:numId="2" w16cid:durableId="256596873">
    <w:abstractNumId w:val="0"/>
  </w:num>
  <w:num w:numId="3" w16cid:durableId="1483621688">
    <w:abstractNumId w:val="2"/>
  </w:num>
  <w:num w:numId="4" w16cid:durableId="636230147">
    <w:abstractNumId w:val="1"/>
  </w:num>
  <w:num w:numId="5" w16cid:durableId="23266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0B"/>
    <w:rsid w:val="0001297B"/>
    <w:rsid w:val="000140F0"/>
    <w:rsid w:val="000156B5"/>
    <w:rsid w:val="00015729"/>
    <w:rsid w:val="00027597"/>
    <w:rsid w:val="00077B57"/>
    <w:rsid w:val="000A48BF"/>
    <w:rsid w:val="0024505A"/>
    <w:rsid w:val="002521E6"/>
    <w:rsid w:val="00276059"/>
    <w:rsid w:val="002860A1"/>
    <w:rsid w:val="003B428E"/>
    <w:rsid w:val="003E05DE"/>
    <w:rsid w:val="00434D96"/>
    <w:rsid w:val="004A3814"/>
    <w:rsid w:val="004B40AE"/>
    <w:rsid w:val="004F6357"/>
    <w:rsid w:val="005000F9"/>
    <w:rsid w:val="0056260B"/>
    <w:rsid w:val="006E7A82"/>
    <w:rsid w:val="00731AAE"/>
    <w:rsid w:val="007D1EBA"/>
    <w:rsid w:val="00884187"/>
    <w:rsid w:val="00893554"/>
    <w:rsid w:val="009435D1"/>
    <w:rsid w:val="00980923"/>
    <w:rsid w:val="00995115"/>
    <w:rsid w:val="00A14BDB"/>
    <w:rsid w:val="00A61CCE"/>
    <w:rsid w:val="00B20FFD"/>
    <w:rsid w:val="00BA1A71"/>
    <w:rsid w:val="00BC5CE0"/>
    <w:rsid w:val="00BD5FAD"/>
    <w:rsid w:val="00C358B8"/>
    <w:rsid w:val="00DA45B2"/>
    <w:rsid w:val="00E93D5A"/>
    <w:rsid w:val="00FC620F"/>
    <w:rsid w:val="00FD30D1"/>
    <w:rsid w:val="00FD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BBFFF"/>
  <w14:defaultImageDpi w14:val="0"/>
  <w15:docId w15:val="{BB195004-AD1A-44AE-88CC-852CCC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0B"/>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56260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6260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6260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6260B"/>
    <w:pPr>
      <w:outlineLvl w:val="3"/>
    </w:pPr>
  </w:style>
  <w:style w:type="paragraph" w:styleId="Heading5">
    <w:name w:val="heading 5"/>
    <w:basedOn w:val="Normal"/>
    <w:next w:val="Normal"/>
    <w:link w:val="Heading5Char"/>
    <w:uiPriority w:val="9"/>
    <w:qFormat/>
    <w:rsid w:val="0056260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6260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6260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6260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6260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6260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6260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6260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6260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6260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6260B"/>
    <w:rPr>
      <w:rFonts w:ascii="Times New Roman" w:hAnsi="Times New Roman" w:cs="Times New Roman"/>
      <w:b/>
      <w:bCs/>
    </w:rPr>
  </w:style>
  <w:style w:type="character" w:customStyle="1" w:styleId="Heading7Char">
    <w:name w:val="Heading 7 Char"/>
    <w:basedOn w:val="DefaultParagraphFont"/>
    <w:link w:val="Heading7"/>
    <w:uiPriority w:val="9"/>
    <w:locked/>
    <w:rsid w:val="0056260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6260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6260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Text">
    <w:name w:val="SJI Text"/>
    <w:basedOn w:val="Normal"/>
    <w:next w:val="Normal"/>
    <w:qFormat/>
    <w:rsid w:val="0056260B"/>
    <w:rPr>
      <w:rFonts w:cs="Times New Roman"/>
    </w:rPr>
  </w:style>
  <w:style w:type="paragraph" w:customStyle="1" w:styleId="SJIStatuteinTitle">
    <w:name w:val="SJI Statute in Title"/>
    <w:basedOn w:val="Normal"/>
    <w:qFormat/>
    <w:rsid w:val="0056260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6260B"/>
    <w:pPr>
      <w:tabs>
        <w:tab w:val="left" w:pos="720"/>
      </w:tabs>
      <w:suppressAutoHyphens/>
      <w:spacing w:after="0"/>
    </w:pPr>
    <w:rPr>
      <w:rFonts w:cs="Times New Roman"/>
      <w:i/>
      <w:iCs/>
      <w:szCs w:val="24"/>
    </w:rPr>
  </w:style>
  <w:style w:type="paragraph" w:customStyle="1" w:styleId="SJIComments">
    <w:name w:val="SJI Comments"/>
    <w:basedOn w:val="Normal"/>
    <w:qFormat/>
    <w:rsid w:val="0056260B"/>
    <w:pPr>
      <w:spacing w:before="220"/>
      <w:ind w:firstLine="0"/>
      <w:jc w:val="center"/>
    </w:pPr>
    <w:rPr>
      <w:rFonts w:cs="Courier New"/>
      <w:b/>
    </w:rPr>
  </w:style>
  <w:style w:type="paragraph" w:customStyle="1" w:styleId="SJIlist1">
    <w:name w:val="SJI list 1"/>
    <w:basedOn w:val="Normal"/>
    <w:qFormat/>
    <w:rsid w:val="0056260B"/>
    <w:pPr>
      <w:widowControl w:val="0"/>
      <w:autoSpaceDE w:val="0"/>
      <w:autoSpaceDN w:val="0"/>
      <w:adjustRightInd w:val="0"/>
      <w:ind w:left="1296" w:hanging="576"/>
    </w:pPr>
    <w:rPr>
      <w:rFonts w:cs="Times New Roman"/>
    </w:rPr>
  </w:style>
  <w:style w:type="character" w:customStyle="1" w:styleId="SJIBold">
    <w:name w:val="SJI Bold"/>
    <w:uiPriority w:val="1"/>
    <w:qFormat/>
    <w:rsid w:val="0056260B"/>
    <w:rPr>
      <w:b/>
    </w:rPr>
  </w:style>
  <w:style w:type="paragraph" w:customStyle="1" w:styleId="SJITableText">
    <w:name w:val="SJI Table Text"/>
    <w:basedOn w:val="Normal"/>
    <w:qFormat/>
    <w:rsid w:val="0056260B"/>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56260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6260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6260B"/>
    <w:pPr>
      <w:numPr>
        <w:numId w:val="5"/>
      </w:numPr>
    </w:pPr>
    <w:rPr>
      <w:rFonts w:cs="Times New Roman"/>
    </w:rPr>
  </w:style>
  <w:style w:type="paragraph" w:styleId="ListParagraph">
    <w:name w:val="List Paragraph"/>
    <w:basedOn w:val="Normal"/>
    <w:uiPriority w:val="34"/>
    <w:qFormat/>
    <w:rsid w:val="0056260B"/>
    <w:pPr>
      <w:ind w:left="720"/>
    </w:pPr>
  </w:style>
  <w:style w:type="paragraph" w:customStyle="1" w:styleId="SJITableNotation">
    <w:name w:val="SJI Table Notation"/>
    <w:basedOn w:val="SJITableText"/>
    <w:qFormat/>
    <w:rsid w:val="0056260B"/>
    <w:pPr>
      <w:spacing w:before="120" w:after="240"/>
    </w:pPr>
  </w:style>
  <w:style w:type="character" w:customStyle="1" w:styleId="SJIUnderline">
    <w:name w:val="SJI Underline"/>
    <w:uiPriority w:val="1"/>
    <w:qFormat/>
    <w:rsid w:val="0056260B"/>
    <w:rPr>
      <w:rFonts w:ascii="Times New Roman" w:hAnsi="Times New Roman"/>
      <w:sz w:val="28"/>
      <w:u w:val="single"/>
    </w:rPr>
  </w:style>
  <w:style w:type="paragraph" w:styleId="Caption">
    <w:name w:val="caption"/>
    <w:basedOn w:val="Normal"/>
    <w:next w:val="Normal"/>
    <w:uiPriority w:val="35"/>
    <w:semiHidden/>
    <w:unhideWhenUsed/>
    <w:qFormat/>
    <w:rsid w:val="0056260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6260B"/>
    <w:pPr>
      <w:jc w:val="center"/>
    </w:pPr>
    <w:rPr>
      <w:rFonts w:cs="Times New Roman"/>
      <w:b/>
      <w:bCs/>
      <w:sz w:val="28"/>
      <w:szCs w:val="28"/>
    </w:rPr>
  </w:style>
  <w:style w:type="character" w:customStyle="1" w:styleId="TitleChar">
    <w:name w:val="Title Char"/>
    <w:basedOn w:val="DefaultParagraphFont"/>
    <w:link w:val="Title"/>
    <w:uiPriority w:val="10"/>
    <w:locked/>
    <w:rsid w:val="0056260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6260B"/>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56260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6260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6260B"/>
    <w:rPr>
      <w:rFonts w:ascii="Bookman Old Style" w:hAnsi="Bookman Old Style" w:cs="Times New Roman"/>
      <w:color w:val="000000"/>
    </w:rPr>
  </w:style>
  <w:style w:type="paragraph" w:styleId="Quote">
    <w:name w:val="Quote"/>
    <w:basedOn w:val="Normal"/>
    <w:next w:val="Normal"/>
    <w:link w:val="QuoteChar"/>
    <w:uiPriority w:val="29"/>
    <w:qFormat/>
    <w:rsid w:val="0056260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6260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6260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6260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6260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506963">
      <w:marLeft w:val="0"/>
      <w:marRight w:val="0"/>
      <w:marTop w:val="0"/>
      <w:marBottom w:val="0"/>
      <w:divBdr>
        <w:top w:val="none" w:sz="0" w:space="0" w:color="auto"/>
        <w:left w:val="none" w:sz="0" w:space="0" w:color="auto"/>
        <w:bottom w:val="none" w:sz="0" w:space="0" w:color="auto"/>
        <w:right w:val="none" w:sz="0" w:space="0" w:color="auto"/>
      </w:divBdr>
    </w:div>
    <w:div w:id="1860506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632</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2026-03-24T13:20:00Z</dcterms:created>
  <dcterms:modified xsi:type="dcterms:W3CDTF">2026-03-25T19:44:00Z</dcterms:modified>
</cp:coreProperties>
</file>