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381E" w14:textId="77777777" w:rsidR="008D0354" w:rsidRPr="00841A8E" w:rsidRDefault="008D0354" w:rsidP="008D0354">
      <w:pPr>
        <w:pStyle w:val="Heading3"/>
        <w:rPr>
          <w:rFonts w:eastAsia="Yu Gothic Light"/>
        </w:rPr>
      </w:pPr>
      <w:r w:rsidRPr="00841A8E">
        <w:rPr>
          <w:rFonts w:eastAsia="Yu Gothic Light"/>
        </w:rPr>
        <w:t xml:space="preserve">21.26 RETALIATING AGAINST A COURT OFFICIAL </w:t>
      </w:r>
    </w:p>
    <w:p w14:paraId="0815CA38" w14:textId="77777777" w:rsidR="008D0354" w:rsidRPr="00841A8E" w:rsidRDefault="008D0354" w:rsidP="008D0354">
      <w:pPr>
        <w:pStyle w:val="SJIStatuteinTitle"/>
      </w:pPr>
      <w:r w:rsidRPr="00841A8E">
        <w:t>§ 918.125, Fla. Stat.</w:t>
      </w:r>
    </w:p>
    <w:p w14:paraId="46FB6870" w14:textId="77777777" w:rsidR="008D0354" w:rsidRDefault="008D0354" w:rsidP="008D0354">
      <w:pPr>
        <w:rPr>
          <w:rFonts w:cs="Times New Roman"/>
          <w:b/>
          <w:color w:val="000000"/>
        </w:rPr>
      </w:pPr>
      <w:r w:rsidRPr="00841A8E">
        <w:rPr>
          <w:rFonts w:cs="Times New Roman"/>
          <w:b/>
          <w:color w:val="000000"/>
        </w:rPr>
        <w:t>To prove the crime of Retaliating Against a Court Official, the State must prove the following three elements beyond a reasonable doubt:</w:t>
      </w:r>
    </w:p>
    <w:p w14:paraId="35E25CF7" w14:textId="77777777" w:rsidR="008D0354" w:rsidRPr="00841A8E" w:rsidRDefault="008D0354" w:rsidP="008D0354">
      <w:pPr>
        <w:pStyle w:val="SJITextItalic"/>
      </w:pPr>
      <w:r>
        <w:t>Give 1a or 1b or both as applicable.</w:t>
      </w:r>
    </w:p>
    <w:p w14:paraId="4815461F" w14:textId="77777777" w:rsidR="008D0354" w:rsidRPr="00841A8E" w:rsidRDefault="008D0354" w:rsidP="008D0354">
      <w:pPr>
        <w:numPr>
          <w:ilvl w:val="0"/>
          <w:numId w:val="10"/>
        </w:numPr>
        <w:tabs>
          <w:tab w:val="clear" w:pos="1440"/>
          <w:tab w:val="num" w:pos="1350"/>
        </w:tabs>
        <w:rPr>
          <w:rFonts w:cs="Times New Roman"/>
          <w:b/>
          <w:color w:val="000000"/>
        </w:rPr>
      </w:pPr>
      <w:r w:rsidRPr="00841A8E">
        <w:rPr>
          <w:rFonts w:cs="Times New Roman"/>
          <w:color w:val="000000"/>
        </w:rPr>
        <w:t>(Defendant)</w:t>
      </w:r>
      <w:r w:rsidRPr="00841A8E">
        <w:rPr>
          <w:rFonts w:cs="Times New Roman"/>
          <w:b/>
          <w:color w:val="000000"/>
        </w:rPr>
        <w:t xml:space="preserve"> </w:t>
      </w:r>
    </w:p>
    <w:p w14:paraId="732FFDA8" w14:textId="77777777" w:rsidR="008D0354" w:rsidRPr="00841A8E" w:rsidRDefault="008D0354" w:rsidP="008D0354">
      <w:pPr>
        <w:numPr>
          <w:ilvl w:val="1"/>
          <w:numId w:val="10"/>
        </w:numPr>
        <w:rPr>
          <w:rFonts w:cs="Times New Roman"/>
          <w:b/>
          <w:color w:val="000000"/>
        </w:rPr>
      </w:pPr>
      <w:r w:rsidRPr="00841A8E">
        <w:rPr>
          <w:rFonts w:cs="Times New Roman"/>
          <w:b/>
          <w:color w:val="000000"/>
        </w:rPr>
        <w:t xml:space="preserve">knowingly engaged in conduct that threatened to cause bodily injury to </w:t>
      </w:r>
      <w:bookmarkStart w:id="0" w:name="_Hlk205750851"/>
      <w:r w:rsidRPr="00841A8E">
        <w:rPr>
          <w:rFonts w:cs="Times New Roman"/>
          <w:color w:val="000000"/>
        </w:rPr>
        <w:t>(name of person)</w:t>
      </w:r>
      <w:bookmarkEnd w:id="0"/>
      <w:r w:rsidRPr="00841A8E">
        <w:rPr>
          <w:rFonts w:cs="Times New Roman"/>
          <w:b/>
          <w:color w:val="000000"/>
        </w:rPr>
        <w:t>.</w:t>
      </w:r>
    </w:p>
    <w:p w14:paraId="1323138A" w14:textId="77777777" w:rsidR="008D0354" w:rsidRPr="00841A8E" w:rsidRDefault="008D0354" w:rsidP="008D0354">
      <w:pPr>
        <w:numPr>
          <w:ilvl w:val="1"/>
          <w:numId w:val="10"/>
        </w:numPr>
        <w:rPr>
          <w:rFonts w:cs="Times New Roman"/>
          <w:b/>
          <w:color w:val="000000"/>
        </w:rPr>
      </w:pPr>
      <w:r w:rsidRPr="00841A8E">
        <w:rPr>
          <w:rFonts w:cs="Times New Roman"/>
          <w:b/>
          <w:color w:val="000000"/>
        </w:rPr>
        <w:t xml:space="preserve">[damaged] [threatened to damage] the tangible property of </w:t>
      </w:r>
      <w:r w:rsidRPr="00841A8E">
        <w:rPr>
          <w:rFonts w:cs="Times New Roman"/>
          <w:color w:val="000000"/>
        </w:rPr>
        <w:t>(name of person).</w:t>
      </w:r>
    </w:p>
    <w:p w14:paraId="43B15233" w14:textId="77777777" w:rsidR="008D0354" w:rsidRPr="00841A8E" w:rsidRDefault="008D0354" w:rsidP="008D0354">
      <w:pPr>
        <w:numPr>
          <w:ilvl w:val="0"/>
          <w:numId w:val="10"/>
        </w:numPr>
        <w:ind w:left="1296" w:hanging="576"/>
        <w:rPr>
          <w:rFonts w:cs="Times New Roman"/>
          <w:b/>
          <w:color w:val="000000"/>
        </w:rPr>
      </w:pPr>
      <w:r w:rsidRPr="00841A8E">
        <w:rPr>
          <w:rFonts w:cs="Times New Roman"/>
          <w:color w:val="000000"/>
        </w:rPr>
        <w:t>(Defendant)</w:t>
      </w:r>
      <w:r w:rsidRPr="00841A8E">
        <w:rPr>
          <w:rFonts w:cs="Times New Roman"/>
          <w:b/>
          <w:color w:val="000000"/>
        </w:rPr>
        <w:t xml:space="preserve"> </w:t>
      </w:r>
      <w:r w:rsidRPr="00841A8E">
        <w:rPr>
          <w:rFonts w:cs="Times New Roman"/>
          <w:b/>
          <w:bCs/>
          <w:color w:val="000000"/>
        </w:rPr>
        <w:t xml:space="preserve">did so with the intent to retaliate against </w:t>
      </w:r>
      <w:r w:rsidRPr="00841A8E">
        <w:rPr>
          <w:rFonts w:cs="Times New Roman"/>
          <w:color w:val="000000"/>
        </w:rPr>
        <w:t>(name of person) f</w:t>
      </w:r>
      <w:r w:rsidRPr="00841A8E">
        <w:rPr>
          <w:rFonts w:cs="Times New Roman"/>
          <w:b/>
          <w:bCs/>
          <w:color w:val="000000"/>
        </w:rPr>
        <w:t>or [his] [her] participation in an official investigation or official proceeding.</w:t>
      </w:r>
    </w:p>
    <w:p w14:paraId="04AB49CB" w14:textId="77777777" w:rsidR="008D0354" w:rsidRPr="00841A8E" w:rsidRDefault="008D0354" w:rsidP="008D0354">
      <w:pPr>
        <w:pStyle w:val="ListParagraph"/>
        <w:numPr>
          <w:ilvl w:val="0"/>
          <w:numId w:val="10"/>
        </w:numPr>
        <w:tabs>
          <w:tab w:val="clear" w:pos="1440"/>
          <w:tab w:val="num" w:pos="1260"/>
        </w:tabs>
        <w:ind w:left="1260" w:right="144" w:hanging="540"/>
        <w:contextualSpacing/>
        <w:rPr>
          <w:rFonts w:cs="Times New Roman"/>
          <w:color w:val="000000"/>
        </w:rPr>
      </w:pPr>
      <w:r w:rsidRPr="00841A8E">
        <w:rPr>
          <w:rFonts w:cs="Times New Roman"/>
          <w:b/>
          <w:color w:val="000000"/>
        </w:rPr>
        <w:t xml:space="preserve">At the time, </w:t>
      </w:r>
      <w:r w:rsidRPr="00841A8E">
        <w:rPr>
          <w:rFonts w:cs="Times New Roman"/>
          <w:bCs/>
          <w:color w:val="000000"/>
        </w:rPr>
        <w:t xml:space="preserve">(name of person) </w:t>
      </w:r>
      <w:r w:rsidRPr="00841A8E">
        <w:rPr>
          <w:rFonts w:cs="Times New Roman"/>
          <w:b/>
          <w:color w:val="000000"/>
        </w:rPr>
        <w:t xml:space="preserve">was </w:t>
      </w:r>
      <w:bookmarkStart w:id="1" w:name="_Hlk224904281"/>
      <w:r w:rsidRPr="00841A8E">
        <w:rPr>
          <w:rFonts w:cs="Times New Roman"/>
          <w:b/>
          <w:bCs/>
          <w:color w:val="000000"/>
        </w:rPr>
        <w:t>a[n] [judge] [justice] [general magistrate] [special magistrate] [grand juror] [petit juror] [clerk of the court] [deputy clerk of the court] [judicial assistant] [administrative assistant] [attorney] [child support enforcement hearing officer] [bailiff] [court deputy].</w:t>
      </w:r>
    </w:p>
    <w:bookmarkEnd w:id="1"/>
    <w:p w14:paraId="3A3AAD5D" w14:textId="77777777" w:rsidR="008D0354" w:rsidRPr="00841A8E" w:rsidRDefault="008D0354" w:rsidP="008D0354">
      <w:pPr>
        <w:pStyle w:val="SJITextItalic"/>
      </w:pPr>
      <w:proofErr w:type="gramStart"/>
      <w:r w:rsidRPr="00841A8E">
        <w:t>Give</w:t>
      </w:r>
      <w:proofErr w:type="gramEnd"/>
      <w:r w:rsidRPr="00841A8E">
        <w:t xml:space="preserve"> if applicable. </w:t>
      </w:r>
    </w:p>
    <w:p w14:paraId="7819A099" w14:textId="77777777" w:rsidR="008D0354" w:rsidRPr="00841A8E" w:rsidRDefault="008D0354" w:rsidP="008D0354">
      <w:pPr>
        <w:spacing w:after="160"/>
        <w:rPr>
          <w:rFonts w:cs="Times New Roman"/>
          <w:b/>
          <w:bCs/>
          <w:color w:val="000000"/>
          <w:szCs w:val="24"/>
        </w:rPr>
      </w:pPr>
      <w:r w:rsidRPr="00841A8E">
        <w:rPr>
          <w:rFonts w:cs="Times New Roman"/>
          <w:b/>
          <w:bCs/>
          <w:color w:val="000000"/>
          <w:szCs w:val="24"/>
        </w:rPr>
        <w:t xml:space="preserve">If you find </w:t>
      </w:r>
      <w:r w:rsidRPr="00841A8E">
        <w:rPr>
          <w:rFonts w:cs="Times New Roman"/>
          <w:color w:val="000000"/>
          <w:szCs w:val="24"/>
        </w:rPr>
        <w:t>(defendant)</w:t>
      </w:r>
      <w:r w:rsidRPr="00841A8E">
        <w:rPr>
          <w:rFonts w:cs="Times New Roman"/>
          <w:b/>
          <w:bCs/>
          <w:color w:val="000000"/>
          <w:szCs w:val="24"/>
        </w:rPr>
        <w:t xml:space="preserve"> guilty of Retaliating Against a Court Official, you must further determine whether the State proved beyond a reasonable doubt that the commission of Retaliating Against a Court Official resulted in bodily injury.</w:t>
      </w:r>
    </w:p>
    <w:p w14:paraId="0A33094B" w14:textId="77777777" w:rsidR="008D0354" w:rsidRPr="00841A8E" w:rsidRDefault="008D0354" w:rsidP="008D0354">
      <w:pPr>
        <w:ind w:firstLine="630"/>
        <w:rPr>
          <w:rFonts w:cs="Times New Roman"/>
          <w:b/>
          <w:color w:val="000000"/>
        </w:rPr>
      </w:pPr>
      <w:r w:rsidRPr="00841A8E">
        <w:rPr>
          <w:rFonts w:cs="Times New Roman"/>
          <w:b/>
          <w:color w:val="000000"/>
        </w:rPr>
        <w:t>“Bodily injury” means a cut, an abrasion, a bruise, a burn, or a disfigurement; physical pain; illness; impairment of the function of a bodily member, an organ, or a mental faculty; or any other injury to the body, regardless of how temporary.</w:t>
      </w:r>
    </w:p>
    <w:p w14:paraId="6690D31E" w14:textId="77777777" w:rsidR="008D0354" w:rsidRPr="00841A8E" w:rsidRDefault="008D0354" w:rsidP="008D0354">
      <w:pPr>
        <w:pStyle w:val="SJITextItalic"/>
      </w:pPr>
      <w:r w:rsidRPr="00841A8E">
        <w:t xml:space="preserve">Give as applicable. </w:t>
      </w:r>
    </w:p>
    <w:p w14:paraId="5D002640" w14:textId="77777777" w:rsidR="008D0354" w:rsidRPr="00841A8E" w:rsidRDefault="008D0354" w:rsidP="008D0354">
      <w:pPr>
        <w:ind w:firstLine="630"/>
        <w:rPr>
          <w:rFonts w:cs="Times New Roman"/>
          <w:b/>
          <w:color w:val="000000"/>
        </w:rPr>
      </w:pPr>
      <w:r w:rsidRPr="00841A8E">
        <w:rPr>
          <w:rFonts w:cs="Times New Roman"/>
          <w:b/>
          <w:color w:val="000000"/>
        </w:rPr>
        <w:t>“Administrative assistant” means a court employee assigned to the office of a specific general or special magistrate or a child support enforcement hearing officer.</w:t>
      </w:r>
    </w:p>
    <w:p w14:paraId="43067D12" w14:textId="77777777" w:rsidR="008D0354" w:rsidRPr="00841A8E" w:rsidRDefault="008D0354" w:rsidP="008D0354">
      <w:pPr>
        <w:ind w:firstLine="630"/>
        <w:rPr>
          <w:rFonts w:cs="Times New Roman"/>
          <w:b/>
          <w:color w:val="000000"/>
        </w:rPr>
      </w:pPr>
      <w:r w:rsidRPr="00841A8E">
        <w:rPr>
          <w:rFonts w:cs="Times New Roman"/>
          <w:b/>
          <w:color w:val="000000"/>
        </w:rPr>
        <w:t>“Judicial assistant” means a court employee assigned to the office of a specific judge or justice responsible for providing administrative, secretarial, or clerical support to the assigned judge or justice.</w:t>
      </w:r>
    </w:p>
    <w:p w14:paraId="6A498EA9" w14:textId="77777777" w:rsidR="008D0354" w:rsidRPr="00841A8E" w:rsidRDefault="008D0354" w:rsidP="008D0354">
      <w:pPr>
        <w:ind w:firstLine="630"/>
        <w:rPr>
          <w:rFonts w:cs="Times New Roman"/>
          <w:b/>
          <w:color w:val="000000"/>
        </w:rPr>
      </w:pPr>
      <w:r w:rsidRPr="00841A8E">
        <w:rPr>
          <w:rFonts w:cs="Times New Roman"/>
          <w:b/>
          <w:color w:val="000000"/>
        </w:rPr>
        <w:t>“Official investigation” means any investigation instituted by a law enforcement agency or prosecuting officer of the state or a political subdivision of the state or by the Commission on Ethics.</w:t>
      </w:r>
    </w:p>
    <w:p w14:paraId="597A40F7" w14:textId="77777777" w:rsidR="008D0354" w:rsidRPr="00841A8E" w:rsidRDefault="008D0354" w:rsidP="008D0354">
      <w:pPr>
        <w:ind w:firstLine="630"/>
        <w:rPr>
          <w:rFonts w:cs="Times New Roman"/>
          <w:b/>
          <w:color w:val="000000"/>
        </w:rPr>
      </w:pPr>
      <w:r w:rsidRPr="00841A8E">
        <w:rPr>
          <w:rFonts w:cs="Times New Roman"/>
          <w:b/>
          <w:color w:val="000000"/>
        </w:rPr>
        <w:t>“Official proceeding” means any proceeding before a judge or court or a grand jury.</w:t>
      </w:r>
    </w:p>
    <w:p w14:paraId="421B1747" w14:textId="77777777" w:rsidR="008D0354" w:rsidRPr="00841A8E" w:rsidRDefault="008D0354" w:rsidP="008D0354">
      <w:pPr>
        <w:pStyle w:val="SJIComments"/>
      </w:pPr>
      <w:r w:rsidRPr="00841A8E">
        <w:t>Lesser Included Offenses</w:t>
      </w:r>
    </w:p>
    <w:p w14:paraId="2458C694" w14:textId="77777777" w:rsidR="008D0354" w:rsidRPr="00841A8E" w:rsidRDefault="008D0354" w:rsidP="008D0354">
      <w:pPr>
        <w:pStyle w:val="Heading4"/>
        <w:rPr>
          <w:rFonts w:eastAsia="Times New Roman"/>
        </w:rPr>
      </w:pPr>
      <w:bookmarkStart w:id="2" w:name="_Toc109650374"/>
      <w:r w:rsidRPr="00841A8E">
        <w:rPr>
          <w:rFonts w:eastAsia="Times New Roman"/>
        </w:rPr>
        <w:t>RETALIATING AGAINST A COURT OFFICIAL — 918.125</w:t>
      </w:r>
      <w:bookmarkEnd w:id="2"/>
    </w:p>
    <w:tbl>
      <w:tblPr>
        <w:tblStyle w:val="TableGrid1"/>
        <w:tblW w:w="5000" w:type="pct"/>
        <w:tblLook w:val="0620" w:firstRow="1" w:lastRow="0" w:firstColumn="0" w:lastColumn="0" w:noHBand="1" w:noVBand="1"/>
      </w:tblPr>
      <w:tblGrid>
        <w:gridCol w:w="2986"/>
        <w:gridCol w:w="2988"/>
        <w:gridCol w:w="1960"/>
        <w:gridCol w:w="1416"/>
      </w:tblGrid>
      <w:tr w:rsidR="008D0354" w:rsidRPr="00841A8E" w14:paraId="7A8D5E79" w14:textId="77777777" w:rsidTr="008D03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7" w:type="pct"/>
          </w:tcPr>
          <w:p w14:paraId="7CC6CFB0" w14:textId="77777777" w:rsidR="008D0354" w:rsidRPr="00841A8E" w:rsidRDefault="008D0354" w:rsidP="008D0354">
            <w:pPr>
              <w:pStyle w:val="SJITableText"/>
            </w:pPr>
            <w:r w:rsidRPr="00841A8E">
              <w:t>CATEGORY ONE</w:t>
            </w:r>
          </w:p>
        </w:tc>
        <w:tc>
          <w:tcPr>
            <w:tcW w:w="1598" w:type="pct"/>
          </w:tcPr>
          <w:p w14:paraId="721A8E6B" w14:textId="77777777" w:rsidR="008D0354" w:rsidRPr="00841A8E" w:rsidRDefault="008D0354" w:rsidP="008D0354">
            <w:pPr>
              <w:pStyle w:val="SJITableText"/>
            </w:pPr>
            <w:r w:rsidRPr="00841A8E">
              <w:t>CATEGORY TWO</w:t>
            </w:r>
          </w:p>
        </w:tc>
        <w:tc>
          <w:tcPr>
            <w:tcW w:w="1048" w:type="pct"/>
          </w:tcPr>
          <w:p w14:paraId="7FD685E5" w14:textId="77777777" w:rsidR="008D0354" w:rsidRPr="00841A8E" w:rsidRDefault="008D0354" w:rsidP="008D0354">
            <w:pPr>
              <w:pStyle w:val="SJITableText"/>
            </w:pPr>
            <w:r w:rsidRPr="00841A8E">
              <w:t>FLA. STAT.</w:t>
            </w:r>
          </w:p>
        </w:tc>
        <w:tc>
          <w:tcPr>
            <w:tcW w:w="757" w:type="pct"/>
          </w:tcPr>
          <w:p w14:paraId="63DB991A" w14:textId="77777777" w:rsidR="008D0354" w:rsidRPr="00841A8E" w:rsidRDefault="008D0354" w:rsidP="008D0354">
            <w:pPr>
              <w:pStyle w:val="SJITableText"/>
            </w:pPr>
            <w:r w:rsidRPr="00841A8E">
              <w:t>INS. NO.</w:t>
            </w:r>
          </w:p>
        </w:tc>
      </w:tr>
      <w:tr w:rsidR="008D0354" w:rsidRPr="00841A8E" w14:paraId="6BA2C444" w14:textId="77777777" w:rsidTr="008D0354">
        <w:tc>
          <w:tcPr>
            <w:tcW w:w="1597" w:type="pct"/>
          </w:tcPr>
          <w:p w14:paraId="1C6E349B" w14:textId="77777777" w:rsidR="008D0354" w:rsidRPr="00841A8E" w:rsidRDefault="008D0354" w:rsidP="008D0354">
            <w:pPr>
              <w:pStyle w:val="SJITableText"/>
            </w:pPr>
            <w:r w:rsidRPr="00841A8E">
              <w:t>None</w:t>
            </w:r>
          </w:p>
        </w:tc>
        <w:tc>
          <w:tcPr>
            <w:tcW w:w="1598" w:type="pct"/>
          </w:tcPr>
          <w:p w14:paraId="4AE4E078" w14:textId="77777777" w:rsidR="008D0354" w:rsidRPr="00841A8E" w:rsidRDefault="008D0354" w:rsidP="008D0354">
            <w:pPr>
              <w:pStyle w:val="SJITableText"/>
            </w:pPr>
          </w:p>
        </w:tc>
        <w:tc>
          <w:tcPr>
            <w:tcW w:w="1048" w:type="pct"/>
          </w:tcPr>
          <w:p w14:paraId="49844458" w14:textId="77777777" w:rsidR="008D0354" w:rsidRPr="00841A8E" w:rsidRDefault="008D0354" w:rsidP="008D0354">
            <w:pPr>
              <w:pStyle w:val="SJITableText"/>
            </w:pPr>
          </w:p>
        </w:tc>
        <w:tc>
          <w:tcPr>
            <w:tcW w:w="757" w:type="pct"/>
          </w:tcPr>
          <w:p w14:paraId="723EBB42" w14:textId="77777777" w:rsidR="008D0354" w:rsidRPr="00841A8E" w:rsidRDefault="008D0354" w:rsidP="008D0354">
            <w:pPr>
              <w:pStyle w:val="SJITableText"/>
            </w:pPr>
          </w:p>
        </w:tc>
      </w:tr>
      <w:tr w:rsidR="008D0354" w:rsidRPr="00841A8E" w14:paraId="09418C6A" w14:textId="77777777" w:rsidTr="008D0354">
        <w:tc>
          <w:tcPr>
            <w:tcW w:w="1597" w:type="pct"/>
          </w:tcPr>
          <w:p w14:paraId="5E50571E" w14:textId="77777777" w:rsidR="008D0354" w:rsidRPr="00841A8E" w:rsidRDefault="008D0354" w:rsidP="008D0354">
            <w:pPr>
              <w:pStyle w:val="SJITableText"/>
            </w:pPr>
          </w:p>
        </w:tc>
        <w:tc>
          <w:tcPr>
            <w:tcW w:w="1598" w:type="pct"/>
          </w:tcPr>
          <w:p w14:paraId="4B2B01D3" w14:textId="77777777" w:rsidR="008D0354" w:rsidRPr="00841A8E" w:rsidRDefault="008D0354" w:rsidP="008D0354">
            <w:pPr>
              <w:pStyle w:val="SJITableText"/>
            </w:pPr>
            <w:r w:rsidRPr="00841A8E">
              <w:t xml:space="preserve">Aggravated Assault </w:t>
            </w:r>
          </w:p>
        </w:tc>
        <w:tc>
          <w:tcPr>
            <w:tcW w:w="1048" w:type="pct"/>
          </w:tcPr>
          <w:p w14:paraId="4BF1D305" w14:textId="77777777" w:rsidR="008D0354" w:rsidRPr="00841A8E" w:rsidRDefault="008D0354" w:rsidP="008D0354">
            <w:pPr>
              <w:pStyle w:val="SJITableText"/>
            </w:pPr>
            <w:r w:rsidRPr="00841A8E">
              <w:t>784.021</w:t>
            </w:r>
          </w:p>
        </w:tc>
        <w:tc>
          <w:tcPr>
            <w:tcW w:w="757" w:type="pct"/>
          </w:tcPr>
          <w:p w14:paraId="173938B7" w14:textId="77777777" w:rsidR="008D0354" w:rsidRPr="00841A8E" w:rsidRDefault="008D0354" w:rsidP="008D0354">
            <w:pPr>
              <w:pStyle w:val="SJITableText"/>
            </w:pPr>
            <w:r w:rsidRPr="00841A8E">
              <w:t>8.2</w:t>
            </w:r>
          </w:p>
        </w:tc>
      </w:tr>
      <w:tr w:rsidR="008D0354" w:rsidRPr="00841A8E" w14:paraId="75A34847" w14:textId="77777777" w:rsidTr="008D0354">
        <w:tc>
          <w:tcPr>
            <w:tcW w:w="1597" w:type="pct"/>
          </w:tcPr>
          <w:p w14:paraId="32B4805F" w14:textId="77777777" w:rsidR="008D0354" w:rsidRPr="00841A8E" w:rsidRDefault="008D0354" w:rsidP="008D0354">
            <w:pPr>
              <w:pStyle w:val="SJITableText"/>
            </w:pPr>
          </w:p>
        </w:tc>
        <w:tc>
          <w:tcPr>
            <w:tcW w:w="1598" w:type="pct"/>
          </w:tcPr>
          <w:p w14:paraId="51AD8963" w14:textId="77777777" w:rsidR="008D0354" w:rsidRPr="00841A8E" w:rsidRDefault="008D0354" w:rsidP="008D0354">
            <w:pPr>
              <w:pStyle w:val="SJITableText"/>
            </w:pPr>
            <w:r w:rsidRPr="00841A8E">
              <w:t>Criminal Mischief</w:t>
            </w:r>
          </w:p>
        </w:tc>
        <w:tc>
          <w:tcPr>
            <w:tcW w:w="1048" w:type="pct"/>
          </w:tcPr>
          <w:p w14:paraId="097C82BF" w14:textId="77777777" w:rsidR="008D0354" w:rsidRPr="00841A8E" w:rsidRDefault="008D0354" w:rsidP="008D0354">
            <w:pPr>
              <w:pStyle w:val="SJITableText"/>
            </w:pPr>
            <w:r w:rsidRPr="00841A8E">
              <w:t>806.13</w:t>
            </w:r>
          </w:p>
        </w:tc>
        <w:tc>
          <w:tcPr>
            <w:tcW w:w="757" w:type="pct"/>
          </w:tcPr>
          <w:p w14:paraId="08B07C75" w14:textId="77777777" w:rsidR="008D0354" w:rsidRPr="00841A8E" w:rsidRDefault="008D0354" w:rsidP="008D0354">
            <w:pPr>
              <w:pStyle w:val="SJITableText"/>
            </w:pPr>
            <w:r w:rsidRPr="00841A8E">
              <w:t>12.4</w:t>
            </w:r>
          </w:p>
        </w:tc>
      </w:tr>
      <w:tr w:rsidR="008D0354" w:rsidRPr="00841A8E" w14:paraId="7E2D9867" w14:textId="77777777" w:rsidTr="008D0354">
        <w:tc>
          <w:tcPr>
            <w:tcW w:w="1597" w:type="pct"/>
          </w:tcPr>
          <w:p w14:paraId="1418B957" w14:textId="77777777" w:rsidR="008D0354" w:rsidRPr="00841A8E" w:rsidRDefault="008D0354" w:rsidP="008D0354">
            <w:pPr>
              <w:pStyle w:val="SJITableText"/>
            </w:pPr>
          </w:p>
        </w:tc>
        <w:tc>
          <w:tcPr>
            <w:tcW w:w="1598" w:type="pct"/>
          </w:tcPr>
          <w:p w14:paraId="138B07AA" w14:textId="77777777" w:rsidR="008D0354" w:rsidRPr="00841A8E" w:rsidRDefault="008D0354" w:rsidP="008D0354">
            <w:pPr>
              <w:pStyle w:val="SJITableText"/>
            </w:pPr>
            <w:r w:rsidRPr="00841A8E">
              <w:t xml:space="preserve">Assault </w:t>
            </w:r>
          </w:p>
        </w:tc>
        <w:tc>
          <w:tcPr>
            <w:tcW w:w="1048" w:type="pct"/>
          </w:tcPr>
          <w:p w14:paraId="57B1BC0E" w14:textId="77777777" w:rsidR="008D0354" w:rsidRPr="00841A8E" w:rsidRDefault="008D0354" w:rsidP="008D0354">
            <w:pPr>
              <w:pStyle w:val="SJITableText"/>
            </w:pPr>
            <w:r w:rsidRPr="00841A8E">
              <w:t>784.011</w:t>
            </w:r>
          </w:p>
        </w:tc>
        <w:tc>
          <w:tcPr>
            <w:tcW w:w="757" w:type="pct"/>
          </w:tcPr>
          <w:p w14:paraId="588840DF" w14:textId="77777777" w:rsidR="008D0354" w:rsidRPr="00841A8E" w:rsidRDefault="008D0354" w:rsidP="008D0354">
            <w:pPr>
              <w:pStyle w:val="SJITableText"/>
            </w:pPr>
            <w:r w:rsidRPr="00841A8E">
              <w:t xml:space="preserve">8.1 </w:t>
            </w:r>
          </w:p>
        </w:tc>
      </w:tr>
      <w:tr w:rsidR="008D0354" w:rsidRPr="00841A8E" w14:paraId="14CA91B0" w14:textId="77777777" w:rsidTr="008D0354">
        <w:tc>
          <w:tcPr>
            <w:tcW w:w="1597" w:type="pct"/>
          </w:tcPr>
          <w:p w14:paraId="363CAF1D" w14:textId="77777777" w:rsidR="008D0354" w:rsidRPr="00841A8E" w:rsidRDefault="008D0354" w:rsidP="008D0354">
            <w:pPr>
              <w:pStyle w:val="SJITableText"/>
            </w:pPr>
          </w:p>
        </w:tc>
        <w:tc>
          <w:tcPr>
            <w:tcW w:w="1598" w:type="pct"/>
          </w:tcPr>
          <w:p w14:paraId="5116C393" w14:textId="77777777" w:rsidR="008D0354" w:rsidRPr="00841A8E" w:rsidRDefault="008D0354" w:rsidP="008D0354">
            <w:pPr>
              <w:pStyle w:val="SJITableText"/>
            </w:pPr>
            <w:r w:rsidRPr="00841A8E">
              <w:t>Attempt</w:t>
            </w:r>
          </w:p>
        </w:tc>
        <w:tc>
          <w:tcPr>
            <w:tcW w:w="1048" w:type="pct"/>
          </w:tcPr>
          <w:p w14:paraId="7159C8A6" w14:textId="77777777" w:rsidR="008D0354" w:rsidRPr="00841A8E" w:rsidRDefault="008D0354" w:rsidP="008D0354">
            <w:pPr>
              <w:pStyle w:val="SJITableText"/>
            </w:pPr>
            <w:r w:rsidRPr="00841A8E">
              <w:t>777.04(1)</w:t>
            </w:r>
          </w:p>
        </w:tc>
        <w:tc>
          <w:tcPr>
            <w:tcW w:w="757" w:type="pct"/>
          </w:tcPr>
          <w:p w14:paraId="1C7377E0" w14:textId="77777777" w:rsidR="008D0354" w:rsidRPr="00841A8E" w:rsidRDefault="008D0354" w:rsidP="008D0354">
            <w:pPr>
              <w:pStyle w:val="SJITableText"/>
            </w:pPr>
            <w:r w:rsidRPr="00841A8E">
              <w:t>5.1</w:t>
            </w:r>
          </w:p>
        </w:tc>
      </w:tr>
    </w:tbl>
    <w:p w14:paraId="3A43C117" w14:textId="77777777" w:rsidR="008D0354" w:rsidRPr="00841A8E" w:rsidRDefault="008D0354" w:rsidP="008D0354">
      <w:pPr>
        <w:pStyle w:val="SJIComments"/>
      </w:pPr>
      <w:r w:rsidRPr="00841A8E">
        <w:t>Comments</w:t>
      </w:r>
    </w:p>
    <w:p w14:paraId="54535304" w14:textId="77777777" w:rsidR="008D0354" w:rsidRPr="00841A8E" w:rsidRDefault="008D0354" w:rsidP="008D0354">
      <w:pPr>
        <w:suppressAutoHyphens/>
        <w:rPr>
          <w:rFonts w:cs="Calibri"/>
        </w:rPr>
      </w:pPr>
      <w:r w:rsidRPr="00841A8E">
        <w:rPr>
          <w:rFonts w:cs="Calibri"/>
        </w:rPr>
        <w:t xml:space="preserve">This instruction was adopted on March 20, 2026. </w:t>
      </w:r>
    </w:p>
    <w:p w14:paraId="1BA49B1E" w14:textId="77777777" w:rsidR="008D0354" w:rsidRDefault="008D0354" w:rsidP="008D0354"/>
    <w:p w14:paraId="14DF9F80" w14:textId="77777777" w:rsidR="008D0354" w:rsidRDefault="008D0354" w:rsidP="008D0354"/>
    <w:p w14:paraId="790F5D46" w14:textId="68EAEFF7" w:rsidR="009435D1" w:rsidRPr="008D0354" w:rsidRDefault="009435D1" w:rsidP="008D0354"/>
    <w:sectPr w:rsidR="009435D1" w:rsidRPr="008D0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@Yu Gothic Light"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7C93"/>
    <w:multiLevelType w:val="hybridMultilevel"/>
    <w:tmpl w:val="A48E507E"/>
    <w:lvl w:ilvl="0" w:tplc="CA8E5BD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  <w:u w:val="none"/>
      </w:rPr>
    </w:lvl>
    <w:lvl w:ilvl="1" w:tplc="529ED3D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598F7DAE"/>
    <w:multiLevelType w:val="hybridMultilevel"/>
    <w:tmpl w:val="FFFFFFFF"/>
    <w:lvl w:ilvl="0" w:tplc="EE90C4B8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6696580B"/>
    <w:multiLevelType w:val="hybridMultilevel"/>
    <w:tmpl w:val="1452E16C"/>
    <w:lvl w:ilvl="0" w:tplc="74E4B45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  <w:u w:val="none"/>
      </w:rPr>
    </w:lvl>
    <w:lvl w:ilvl="1" w:tplc="71BCB4A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221239D"/>
    <w:multiLevelType w:val="hybridMultilevel"/>
    <w:tmpl w:val="55028184"/>
    <w:lvl w:ilvl="0" w:tplc="32FA05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5650418"/>
    <w:multiLevelType w:val="hybridMultilevel"/>
    <w:tmpl w:val="8AC084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63223A9"/>
    <w:multiLevelType w:val="hybridMultilevel"/>
    <w:tmpl w:val="E48C7144"/>
    <w:lvl w:ilvl="0" w:tplc="CBFC1AF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B15F14"/>
    <w:multiLevelType w:val="hybridMultilevel"/>
    <w:tmpl w:val="5E10F6D2"/>
    <w:lvl w:ilvl="0" w:tplc="5F18A34C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00555358">
    <w:abstractNumId w:val="2"/>
  </w:num>
  <w:num w:numId="2" w16cid:durableId="520708106">
    <w:abstractNumId w:val="3"/>
  </w:num>
  <w:num w:numId="3" w16cid:durableId="865409230">
    <w:abstractNumId w:val="1"/>
  </w:num>
  <w:num w:numId="4" w16cid:durableId="1452939189">
    <w:abstractNumId w:val="1"/>
  </w:num>
  <w:num w:numId="5" w16cid:durableId="101650119">
    <w:abstractNumId w:val="5"/>
  </w:num>
  <w:num w:numId="6" w16cid:durableId="1811172966">
    <w:abstractNumId w:val="7"/>
  </w:num>
  <w:num w:numId="7" w16cid:durableId="1799105177">
    <w:abstractNumId w:val="6"/>
  </w:num>
  <w:num w:numId="8" w16cid:durableId="858740105">
    <w:abstractNumId w:val="0"/>
  </w:num>
  <w:num w:numId="9" w16cid:durableId="970793873">
    <w:abstractNumId w:val="8"/>
  </w:num>
  <w:num w:numId="10" w16cid:durableId="1944721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44"/>
    <w:rsid w:val="00076773"/>
    <w:rsid w:val="00165003"/>
    <w:rsid w:val="00262444"/>
    <w:rsid w:val="00276059"/>
    <w:rsid w:val="00286C94"/>
    <w:rsid w:val="002E1B0E"/>
    <w:rsid w:val="003C2B3B"/>
    <w:rsid w:val="003E05DE"/>
    <w:rsid w:val="004A4C40"/>
    <w:rsid w:val="004B11BC"/>
    <w:rsid w:val="004C3A36"/>
    <w:rsid w:val="00514DAB"/>
    <w:rsid w:val="00526223"/>
    <w:rsid w:val="005307A1"/>
    <w:rsid w:val="005E099F"/>
    <w:rsid w:val="00671E14"/>
    <w:rsid w:val="007556DA"/>
    <w:rsid w:val="007D1EBA"/>
    <w:rsid w:val="008D0354"/>
    <w:rsid w:val="009435D1"/>
    <w:rsid w:val="00A17355"/>
    <w:rsid w:val="00B20FFD"/>
    <w:rsid w:val="00B731D3"/>
    <w:rsid w:val="00C25548"/>
    <w:rsid w:val="00C358B8"/>
    <w:rsid w:val="00CB3978"/>
    <w:rsid w:val="00CB7717"/>
    <w:rsid w:val="00CC4D24"/>
    <w:rsid w:val="00CD52F8"/>
    <w:rsid w:val="00E40FE9"/>
    <w:rsid w:val="00E52076"/>
    <w:rsid w:val="00E53354"/>
    <w:rsid w:val="00E64D68"/>
    <w:rsid w:val="00E66A64"/>
    <w:rsid w:val="00EF65D3"/>
    <w:rsid w:val="00F16FA0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4A4AD"/>
  <w14:defaultImageDpi w14:val="0"/>
  <w15:docId w15:val="{BB195004-AD1A-44AE-88CC-852CCC26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444"/>
    <w:pPr>
      <w:spacing w:after="220"/>
      <w:ind w:firstLine="720"/>
    </w:pPr>
    <w:rPr>
      <w:rFonts w:ascii="Bookman Old Style" w:hAnsi="Bookman Old Style" w:cs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444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2444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62444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262444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262444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62444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262444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62444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262444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62444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62444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62444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262444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26244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262444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262444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262444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262444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Apto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262444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262444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Comments">
    <w:name w:val="SJI Comments"/>
    <w:basedOn w:val="Normal"/>
    <w:qFormat/>
    <w:rsid w:val="00262444"/>
    <w:pPr>
      <w:spacing w:before="220"/>
      <w:ind w:firstLine="0"/>
      <w:jc w:val="center"/>
    </w:pPr>
    <w:rPr>
      <w:rFonts w:cs="Courier New"/>
      <w:b/>
    </w:rPr>
  </w:style>
  <w:style w:type="paragraph" w:customStyle="1" w:styleId="SJIlist1">
    <w:name w:val="SJI list 1"/>
    <w:basedOn w:val="Normal"/>
    <w:qFormat/>
    <w:rsid w:val="00262444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262444"/>
    <w:rPr>
      <w:b/>
    </w:rPr>
  </w:style>
  <w:style w:type="paragraph" w:customStyle="1" w:styleId="SJIText">
    <w:name w:val="SJI Text"/>
    <w:basedOn w:val="Normal"/>
    <w:next w:val="Normal"/>
    <w:qFormat/>
    <w:rsid w:val="00262444"/>
    <w:rPr>
      <w:rFonts w:cs="Times New Roman"/>
    </w:rPr>
  </w:style>
  <w:style w:type="paragraph" w:customStyle="1" w:styleId="SJITableText">
    <w:name w:val="SJI Table Text"/>
    <w:basedOn w:val="Normal"/>
    <w:qFormat/>
    <w:rsid w:val="00262444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262444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262444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262444"/>
    <w:pPr>
      <w:numPr>
        <w:numId w:val="4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262444"/>
    <w:pPr>
      <w:ind w:left="720"/>
    </w:pPr>
  </w:style>
  <w:style w:type="paragraph" w:customStyle="1" w:styleId="SJITableNotation">
    <w:name w:val="SJI Table Notation"/>
    <w:basedOn w:val="SJITableText"/>
    <w:qFormat/>
    <w:rsid w:val="00262444"/>
    <w:pPr>
      <w:spacing w:before="120" w:after="240"/>
    </w:pPr>
  </w:style>
  <w:style w:type="character" w:customStyle="1" w:styleId="SJIUnderline">
    <w:name w:val="SJI Underline"/>
    <w:uiPriority w:val="1"/>
    <w:qFormat/>
    <w:rsid w:val="00262444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2444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262444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262444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262444"/>
    <w:pPr>
      <w:spacing w:after="0" w:line="240" w:lineRule="auto"/>
    </w:pPr>
    <w:rPr>
      <w:rFonts w:ascii="Bookman Old Style" w:hAnsi="Bookman Old Style" w:cs="Aptos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444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262444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62444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262444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262444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44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262444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444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  <w:style w:type="table" w:customStyle="1" w:styleId="TableGrid11">
    <w:name w:val="Table Grid11"/>
    <w:basedOn w:val="TableNormal"/>
    <w:next w:val="TableGrid"/>
    <w:uiPriority w:val="99"/>
    <w:rsid w:val="00E64D6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E6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E53354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@Yu Gothic Light" w:hAnsi="@Yu Gothic Light" w:cs="Times New Roman"/>
        <w:b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2026-03-25T19:04:00Z</dcterms:created>
  <dcterms:modified xsi:type="dcterms:W3CDTF">2026-03-25T19:04:00Z</dcterms:modified>
</cp:coreProperties>
</file>