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60F5" w14:textId="02ED6A96" w:rsidR="00605597" w:rsidRPr="006E1065" w:rsidRDefault="00785F37" w:rsidP="00CD03DC">
      <w:pPr>
        <w:pStyle w:val="Heading3"/>
      </w:pPr>
      <w:r w:rsidRPr="006E1065">
        <w:t>20.30</w:t>
      </w:r>
      <w:r w:rsidR="00777BB6" w:rsidRPr="006E1065">
        <w:t xml:space="preserve"> </w:t>
      </w:r>
      <w:r w:rsidRPr="006E1065">
        <w:t>F</w:t>
      </w:r>
      <w:r w:rsidR="00460589" w:rsidRPr="006E1065">
        <w:t>RAUDULENT USE OF A GIFT CARD</w:t>
      </w:r>
    </w:p>
    <w:p w14:paraId="6E3BBE3D" w14:textId="573EEBAD" w:rsidR="00706F18" w:rsidRPr="006E1065" w:rsidRDefault="00706F18" w:rsidP="00CD03DC">
      <w:pPr>
        <w:pStyle w:val="SJIStatuteinTitle"/>
      </w:pPr>
      <w:r w:rsidRPr="006E1065">
        <w:t xml:space="preserve">§ </w:t>
      </w:r>
      <w:r w:rsidR="00785F37" w:rsidRPr="006E1065">
        <w:t>817.091</w:t>
      </w:r>
      <w:r w:rsidR="00490A85" w:rsidRPr="006E1065">
        <w:t>(2)</w:t>
      </w:r>
      <w:r w:rsidRPr="006E1065">
        <w:t>, Fla. Stat.</w:t>
      </w:r>
    </w:p>
    <w:p w14:paraId="45EA93E0" w14:textId="1A136639" w:rsidR="00706F18" w:rsidRPr="00CD03DC" w:rsidRDefault="00706F18" w:rsidP="00CD03DC">
      <w:pPr>
        <w:rPr>
          <w:b/>
          <w:bCs/>
        </w:rPr>
      </w:pPr>
      <w:r w:rsidRPr="00CD03DC">
        <w:rPr>
          <w:b/>
          <w:bCs/>
        </w:rPr>
        <w:t>To prove the crime of</w:t>
      </w:r>
      <w:r w:rsidR="006B232B" w:rsidRPr="00CD03DC">
        <w:rPr>
          <w:b/>
          <w:bCs/>
        </w:rPr>
        <w:t xml:space="preserve"> Fraudulent Use of </w:t>
      </w:r>
      <w:r w:rsidR="00527B16" w:rsidRPr="00CD03DC">
        <w:rPr>
          <w:b/>
          <w:bCs/>
        </w:rPr>
        <w:t xml:space="preserve">a </w:t>
      </w:r>
      <w:r w:rsidR="006B232B" w:rsidRPr="00CD03DC">
        <w:rPr>
          <w:b/>
          <w:bCs/>
        </w:rPr>
        <w:t>Gift Card</w:t>
      </w:r>
      <w:r w:rsidR="00640008" w:rsidRPr="00CD03DC">
        <w:rPr>
          <w:b/>
          <w:bCs/>
        </w:rPr>
        <w:t>,</w:t>
      </w:r>
      <w:r w:rsidRPr="00CD03DC">
        <w:rPr>
          <w:b/>
          <w:bCs/>
        </w:rPr>
        <w:t xml:space="preserve"> the State must prove the following</w:t>
      </w:r>
      <w:r w:rsidR="00393DC3" w:rsidRPr="00CD03DC">
        <w:rPr>
          <w:b/>
          <w:bCs/>
        </w:rPr>
        <w:t xml:space="preserve"> </w:t>
      </w:r>
      <w:r w:rsidR="00527B16" w:rsidRPr="00CD03DC">
        <w:rPr>
          <w:b/>
          <w:bCs/>
        </w:rPr>
        <w:t xml:space="preserve">two </w:t>
      </w:r>
      <w:r w:rsidRPr="00CD03DC">
        <w:rPr>
          <w:b/>
          <w:bCs/>
        </w:rPr>
        <w:t>element</w:t>
      </w:r>
      <w:r w:rsidR="00527B16" w:rsidRPr="00CD03DC">
        <w:rPr>
          <w:b/>
          <w:bCs/>
        </w:rPr>
        <w:t>s</w:t>
      </w:r>
      <w:r w:rsidRPr="00CD03DC">
        <w:rPr>
          <w:b/>
          <w:bCs/>
        </w:rPr>
        <w:t xml:space="preserve"> beyond a reasonable doubt:</w:t>
      </w:r>
    </w:p>
    <w:p w14:paraId="2C382A94" w14:textId="2215F625" w:rsidR="00490A85" w:rsidRPr="00CD03DC" w:rsidRDefault="00706F18" w:rsidP="00CD03DC">
      <w:pPr>
        <w:pStyle w:val="ListParagraph"/>
        <w:numPr>
          <w:ilvl w:val="0"/>
          <w:numId w:val="8"/>
        </w:numPr>
        <w:ind w:left="1296" w:hanging="576"/>
      </w:pPr>
      <w:r w:rsidRPr="00CD03DC">
        <w:t>(Defendant)</w:t>
      </w:r>
    </w:p>
    <w:p w14:paraId="7B5D18B5" w14:textId="50F6B382" w:rsidR="00490A85" w:rsidRPr="00CD03DC" w:rsidRDefault="00490A85" w:rsidP="00CD03DC">
      <w:pPr>
        <w:pStyle w:val="SJITextItalic"/>
      </w:pPr>
      <w:r w:rsidRPr="00CD03DC">
        <w:t>Give as applicable:</w:t>
      </w:r>
    </w:p>
    <w:p w14:paraId="3DAAF471" w14:textId="5AF1593D" w:rsidR="00490A85" w:rsidRPr="00CD03DC" w:rsidRDefault="00490A85" w:rsidP="00CD03DC">
      <w:pPr>
        <w:pStyle w:val="ListParagraph"/>
        <w:numPr>
          <w:ilvl w:val="0"/>
          <w:numId w:val="9"/>
        </w:numPr>
        <w:ind w:left="1620" w:hanging="432"/>
        <w:rPr>
          <w:b/>
          <w:bCs/>
        </w:rPr>
      </w:pPr>
      <w:r w:rsidRPr="00CD03DC">
        <w:rPr>
          <w:b/>
          <w:bCs/>
        </w:rPr>
        <w:t xml:space="preserve">acquired or retained possession of </w:t>
      </w:r>
      <w:r w:rsidR="00C23DF3" w:rsidRPr="00CD03DC">
        <w:rPr>
          <w:b/>
          <w:bCs/>
        </w:rPr>
        <w:t xml:space="preserve">a </w:t>
      </w:r>
      <w:r w:rsidR="006B232B" w:rsidRPr="00CD03DC">
        <w:rPr>
          <w:b/>
          <w:bCs/>
        </w:rPr>
        <w:t>[gift card]</w:t>
      </w:r>
      <w:r w:rsidR="006C21E3" w:rsidRPr="00CD03DC">
        <w:rPr>
          <w:b/>
          <w:bCs/>
        </w:rPr>
        <w:t xml:space="preserve"> </w:t>
      </w:r>
      <w:r w:rsidR="006B232B" w:rsidRPr="00CD03DC">
        <w:rPr>
          <w:b/>
          <w:bCs/>
        </w:rPr>
        <w:t>[</w:t>
      </w:r>
      <w:r w:rsidRPr="00CD03DC">
        <w:rPr>
          <w:b/>
          <w:bCs/>
        </w:rPr>
        <w:t>gift card redemption information</w:t>
      </w:r>
      <w:r w:rsidR="006B232B" w:rsidRPr="00CD03DC">
        <w:rPr>
          <w:b/>
          <w:bCs/>
        </w:rPr>
        <w:t>]</w:t>
      </w:r>
      <w:r w:rsidRPr="00CD03DC">
        <w:rPr>
          <w:b/>
          <w:bCs/>
        </w:rPr>
        <w:t xml:space="preserve"> without the consent of the [cardholder]</w:t>
      </w:r>
      <w:r w:rsidR="00147A26" w:rsidRPr="00CD03DC">
        <w:rPr>
          <w:b/>
          <w:bCs/>
        </w:rPr>
        <w:t xml:space="preserve"> </w:t>
      </w:r>
      <w:r w:rsidRPr="00CD03DC">
        <w:rPr>
          <w:b/>
          <w:bCs/>
        </w:rPr>
        <w:t>[card issue] [gift card seller]</w:t>
      </w:r>
      <w:r w:rsidR="00147A26" w:rsidRPr="00CD03DC">
        <w:rPr>
          <w:b/>
          <w:bCs/>
        </w:rPr>
        <w:t>.</w:t>
      </w:r>
    </w:p>
    <w:p w14:paraId="1C5B1ABA" w14:textId="722F9FB5" w:rsidR="00490A85" w:rsidRPr="00CD03DC" w:rsidRDefault="00490A85" w:rsidP="00CD03DC">
      <w:pPr>
        <w:pStyle w:val="ListParagraph"/>
        <w:numPr>
          <w:ilvl w:val="0"/>
          <w:numId w:val="9"/>
        </w:numPr>
        <w:ind w:left="1620" w:hanging="432"/>
        <w:rPr>
          <w:b/>
          <w:bCs/>
        </w:rPr>
      </w:pPr>
      <w:r w:rsidRPr="00CD03DC">
        <w:rPr>
          <w:b/>
          <w:bCs/>
        </w:rPr>
        <w:t xml:space="preserve">altered or tampered with </w:t>
      </w:r>
      <w:r w:rsidR="00C23DF3" w:rsidRPr="00CD03DC">
        <w:rPr>
          <w:b/>
          <w:bCs/>
        </w:rPr>
        <w:t xml:space="preserve">a </w:t>
      </w:r>
      <w:r w:rsidRPr="00CD03DC">
        <w:rPr>
          <w:b/>
          <w:bCs/>
        </w:rPr>
        <w:t>gift card or its packaging</w:t>
      </w:r>
      <w:r w:rsidR="00147A26" w:rsidRPr="00CD03DC">
        <w:rPr>
          <w:b/>
          <w:bCs/>
        </w:rPr>
        <w:t>.</w:t>
      </w:r>
    </w:p>
    <w:p w14:paraId="08DA2CCC" w14:textId="34DDB2C8" w:rsidR="00490A85" w:rsidRPr="00CD03DC" w:rsidRDefault="00490A85" w:rsidP="00CD03DC">
      <w:pPr>
        <w:pStyle w:val="ListParagraph"/>
        <w:numPr>
          <w:ilvl w:val="0"/>
          <w:numId w:val="9"/>
        </w:numPr>
        <w:ind w:left="1620" w:hanging="432"/>
        <w:rPr>
          <w:b/>
          <w:bCs/>
        </w:rPr>
      </w:pPr>
      <w:r w:rsidRPr="00CD03DC">
        <w:rPr>
          <w:b/>
          <w:bCs/>
        </w:rPr>
        <w:t xml:space="preserve">devised a scheme to obtain </w:t>
      </w:r>
      <w:r w:rsidR="00C23DF3" w:rsidRPr="00CD03DC">
        <w:rPr>
          <w:b/>
          <w:bCs/>
        </w:rPr>
        <w:t xml:space="preserve">a </w:t>
      </w:r>
      <w:r w:rsidR="00147A26" w:rsidRPr="00CD03DC">
        <w:rPr>
          <w:b/>
          <w:bCs/>
        </w:rPr>
        <w:t>[</w:t>
      </w:r>
      <w:r w:rsidRPr="00CD03DC">
        <w:rPr>
          <w:b/>
          <w:bCs/>
        </w:rPr>
        <w:t xml:space="preserve">gift card] [gift card redemption information] from </w:t>
      </w:r>
      <w:r w:rsidR="00147A26" w:rsidRPr="00CD03DC">
        <w:rPr>
          <w:b/>
          <w:bCs/>
        </w:rPr>
        <w:t>[</w:t>
      </w:r>
      <w:r w:rsidRPr="00CD03DC">
        <w:rPr>
          <w:b/>
          <w:bCs/>
        </w:rPr>
        <w:t>a</w:t>
      </w:r>
      <w:r w:rsidR="00147A26" w:rsidRPr="00CD03DC">
        <w:rPr>
          <w:b/>
          <w:bCs/>
        </w:rPr>
        <w:t>]</w:t>
      </w:r>
      <w:r w:rsidRPr="00CD03DC">
        <w:rPr>
          <w:b/>
          <w:bCs/>
        </w:rPr>
        <w:t xml:space="preserve"> [cardholder]</w:t>
      </w:r>
      <w:r w:rsidR="00147A26" w:rsidRPr="00CD03DC">
        <w:rPr>
          <w:b/>
          <w:bCs/>
        </w:rPr>
        <w:t xml:space="preserve"> </w:t>
      </w:r>
      <w:r w:rsidRPr="00CD03DC">
        <w:rPr>
          <w:b/>
          <w:bCs/>
        </w:rPr>
        <w:t xml:space="preserve">[card issuer] [gift card seller] by means of false or fraudulent pretenses, representations, or promises. </w:t>
      </w:r>
    </w:p>
    <w:p w14:paraId="0D0EBCB2" w14:textId="74333EB0" w:rsidR="00B0656B" w:rsidRPr="00CD03DC" w:rsidRDefault="00527B16" w:rsidP="00CD03DC">
      <w:pPr>
        <w:pStyle w:val="ListParagraph"/>
        <w:numPr>
          <w:ilvl w:val="0"/>
          <w:numId w:val="9"/>
        </w:numPr>
        <w:ind w:left="1620" w:hanging="432"/>
        <w:rPr>
          <w:b/>
          <w:bCs/>
        </w:rPr>
      </w:pPr>
      <w:r w:rsidRPr="00CD03DC">
        <w:rPr>
          <w:b/>
          <w:bCs/>
        </w:rPr>
        <w:t>u</w:t>
      </w:r>
      <w:r w:rsidR="00490A85" w:rsidRPr="00CD03DC">
        <w:rPr>
          <w:b/>
          <w:bCs/>
        </w:rPr>
        <w:t>sed, for the purpose of obtaining [money]</w:t>
      </w:r>
      <w:r w:rsidRPr="00CD03DC">
        <w:rPr>
          <w:b/>
          <w:bCs/>
        </w:rPr>
        <w:t xml:space="preserve"> </w:t>
      </w:r>
      <w:r w:rsidR="00490A85" w:rsidRPr="00CD03DC">
        <w:rPr>
          <w:b/>
          <w:bCs/>
        </w:rPr>
        <w:t>[goods]</w:t>
      </w:r>
      <w:r w:rsidRPr="00CD03DC">
        <w:rPr>
          <w:b/>
          <w:bCs/>
        </w:rPr>
        <w:t xml:space="preserve"> </w:t>
      </w:r>
      <w:r w:rsidR="00490A85" w:rsidRPr="00CD03DC">
        <w:rPr>
          <w:b/>
          <w:bCs/>
        </w:rPr>
        <w:t xml:space="preserve">[services] or anything else of value, </w:t>
      </w:r>
      <w:r w:rsidR="00C23DF3" w:rsidRPr="00CD03DC">
        <w:rPr>
          <w:b/>
          <w:bCs/>
        </w:rPr>
        <w:t xml:space="preserve">a </w:t>
      </w:r>
      <w:r w:rsidR="00490A85" w:rsidRPr="00CD03DC">
        <w:rPr>
          <w:b/>
          <w:bCs/>
        </w:rPr>
        <w:t>[gift card]</w:t>
      </w:r>
      <w:r w:rsidR="00147A26" w:rsidRPr="00CD03DC">
        <w:rPr>
          <w:b/>
          <w:bCs/>
        </w:rPr>
        <w:t xml:space="preserve"> </w:t>
      </w:r>
      <w:r w:rsidR="00490A85" w:rsidRPr="00CD03DC">
        <w:rPr>
          <w:b/>
          <w:bCs/>
        </w:rPr>
        <w:t>[gift card redemption information]</w:t>
      </w:r>
      <w:r w:rsidRPr="00CD03DC">
        <w:rPr>
          <w:b/>
          <w:bCs/>
        </w:rPr>
        <w:t xml:space="preserve"> that had been obtained </w:t>
      </w:r>
      <w:r w:rsidRPr="00CD03DC">
        <w:t>(insert the way that</w:t>
      </w:r>
      <w:r w:rsidR="00CD03DC" w:rsidRPr="00CD03DC">
        <w:t xml:space="preserve"> </w:t>
      </w:r>
      <w:r w:rsidR="00CD03DC">
        <w:br/>
      </w:r>
      <w:r w:rsidRPr="00CD03DC">
        <w:t xml:space="preserve">§ 817.091(2), Fla. Stat. </w:t>
      </w:r>
      <w:r w:rsidR="00460589" w:rsidRPr="00CD03DC">
        <w:t>had been</w:t>
      </w:r>
      <w:r w:rsidRPr="00CD03DC">
        <w:t xml:space="preserve"> violated)</w:t>
      </w:r>
      <w:r w:rsidR="00490A85" w:rsidRPr="00CD03DC">
        <w:rPr>
          <w:b/>
          <w:bCs/>
        </w:rPr>
        <w:t>.</w:t>
      </w:r>
    </w:p>
    <w:p w14:paraId="7F3AB0B9" w14:textId="3FC8733F" w:rsidR="00527B16" w:rsidRPr="00CD03DC" w:rsidRDefault="00527B16" w:rsidP="00CD03DC">
      <w:pPr>
        <w:pStyle w:val="ListParagraph"/>
        <w:numPr>
          <w:ilvl w:val="0"/>
          <w:numId w:val="8"/>
        </w:numPr>
        <w:ind w:left="1296" w:hanging="576"/>
        <w:rPr>
          <w:b/>
          <w:bCs/>
        </w:rPr>
      </w:pPr>
      <w:r w:rsidRPr="00CD03DC">
        <w:rPr>
          <w:b/>
          <w:bCs/>
        </w:rPr>
        <w:t xml:space="preserve">[He] [She] did so with the intent to defraud. </w:t>
      </w:r>
    </w:p>
    <w:p w14:paraId="4DC8839C" w14:textId="30CED778" w:rsidR="00527B16" w:rsidRPr="00CD03DC" w:rsidRDefault="00527B16" w:rsidP="00CD03DC">
      <w:pPr>
        <w:rPr>
          <w:b/>
          <w:bCs/>
        </w:rPr>
      </w:pPr>
      <w:r w:rsidRPr="00CD03DC">
        <w:rPr>
          <w:b/>
          <w:bCs/>
        </w:rPr>
        <w:t>The intent with which an act is done is an operation of the mind and, therefore, is not always capable of direct and positive proof. It may be established by circumstantial evidence like any other fact in a case.</w:t>
      </w:r>
    </w:p>
    <w:p w14:paraId="0F5435E9" w14:textId="74236D3C" w:rsidR="006B232B" w:rsidRPr="006E1065" w:rsidRDefault="006B232B" w:rsidP="00CD03DC">
      <w:pPr>
        <w:pStyle w:val="SJITextItalic"/>
        <w:rPr>
          <w:strike/>
        </w:rPr>
      </w:pPr>
      <w:proofErr w:type="gramStart"/>
      <w:r w:rsidRPr="006E1065">
        <w:t>Give</w:t>
      </w:r>
      <w:proofErr w:type="gramEnd"/>
      <w:r w:rsidRPr="006E1065">
        <w:t xml:space="preserve"> </w:t>
      </w:r>
      <w:r w:rsidR="00C2317E" w:rsidRPr="006E1065">
        <w:t>if</w:t>
      </w:r>
      <w:r w:rsidRPr="006E1065">
        <w:t xml:space="preserve"> applicable.</w:t>
      </w:r>
    </w:p>
    <w:p w14:paraId="65885BCF" w14:textId="0E2290EF" w:rsidR="00B0656B" w:rsidRPr="006E1065" w:rsidRDefault="006B232B" w:rsidP="00CD03DC">
      <w:pPr>
        <w:rPr>
          <w:b/>
          <w:bCs/>
        </w:rPr>
      </w:pPr>
      <w:r w:rsidRPr="006E1065">
        <w:rPr>
          <w:b/>
          <w:bCs/>
        </w:rPr>
        <w:t xml:space="preserve">If you find the defendant guilty of Fraudulent Use of </w:t>
      </w:r>
      <w:r w:rsidR="00527B16" w:rsidRPr="006E1065">
        <w:rPr>
          <w:b/>
          <w:bCs/>
        </w:rPr>
        <w:t xml:space="preserve">a </w:t>
      </w:r>
      <w:r w:rsidRPr="006E1065">
        <w:rPr>
          <w:b/>
          <w:bCs/>
        </w:rPr>
        <w:t>Gift Card, you must also determine if the State proved beyond a reasonable doubt that</w:t>
      </w:r>
      <w:r w:rsidRPr="006E1065">
        <w:t xml:space="preserve"> </w:t>
      </w:r>
      <w:r w:rsidRPr="006E1065">
        <w:rPr>
          <w:b/>
          <w:bCs/>
        </w:rPr>
        <w:t>the value of any [gift card</w:t>
      </w:r>
      <w:r w:rsidR="00147A26" w:rsidRPr="006E1065">
        <w:rPr>
          <w:b/>
          <w:bCs/>
        </w:rPr>
        <w:t>(s)</w:t>
      </w:r>
      <w:r w:rsidRPr="006E1065">
        <w:rPr>
          <w:b/>
          <w:bCs/>
        </w:rPr>
        <w:t xml:space="preserve">] [gift card redemption information] </w:t>
      </w:r>
      <w:r w:rsidR="00C2317E" w:rsidRPr="006E1065">
        <w:rPr>
          <w:b/>
          <w:bCs/>
        </w:rPr>
        <w:t>[</w:t>
      </w:r>
      <w:r w:rsidRPr="006E1065">
        <w:rPr>
          <w:b/>
          <w:bCs/>
        </w:rPr>
        <w:t>money</w:t>
      </w:r>
      <w:r w:rsidR="00C2317E" w:rsidRPr="006E1065">
        <w:rPr>
          <w:b/>
          <w:bCs/>
        </w:rPr>
        <w:t>]</w:t>
      </w:r>
      <w:r w:rsidRPr="006E1065">
        <w:rPr>
          <w:b/>
          <w:bCs/>
        </w:rPr>
        <w:t xml:space="preserve"> </w:t>
      </w:r>
      <w:r w:rsidR="00C2317E" w:rsidRPr="006E1065">
        <w:rPr>
          <w:b/>
          <w:bCs/>
        </w:rPr>
        <w:t>[</w:t>
      </w:r>
      <w:r w:rsidRPr="006E1065">
        <w:rPr>
          <w:b/>
          <w:bCs/>
        </w:rPr>
        <w:t>goods</w:t>
      </w:r>
      <w:r w:rsidR="00C2317E" w:rsidRPr="006E1065">
        <w:rPr>
          <w:b/>
          <w:bCs/>
        </w:rPr>
        <w:t>]</w:t>
      </w:r>
      <w:r w:rsidRPr="006E1065">
        <w:rPr>
          <w:b/>
          <w:bCs/>
        </w:rPr>
        <w:t xml:space="preserve"> </w:t>
      </w:r>
      <w:r w:rsidR="00C2317E" w:rsidRPr="006E1065">
        <w:rPr>
          <w:b/>
          <w:bCs/>
        </w:rPr>
        <w:t>[</w:t>
      </w:r>
      <w:r w:rsidRPr="006E1065">
        <w:rPr>
          <w:b/>
          <w:bCs/>
        </w:rPr>
        <w:t>services</w:t>
      </w:r>
      <w:r w:rsidR="00C2317E" w:rsidRPr="006E1065">
        <w:rPr>
          <w:b/>
          <w:bCs/>
        </w:rPr>
        <w:t>]</w:t>
      </w:r>
      <w:r w:rsidRPr="006E1065">
        <w:rPr>
          <w:b/>
          <w:bCs/>
        </w:rPr>
        <w:t xml:space="preserve"> </w:t>
      </w:r>
      <w:r w:rsidR="00C2317E" w:rsidRPr="006E1065">
        <w:rPr>
          <w:b/>
          <w:bCs/>
        </w:rPr>
        <w:t>[</w:t>
      </w:r>
      <w:r w:rsidRPr="006E1065">
        <w:rPr>
          <w:b/>
          <w:bCs/>
        </w:rPr>
        <w:t>or other thing of value</w:t>
      </w:r>
      <w:r w:rsidR="00C2317E" w:rsidRPr="006E1065">
        <w:rPr>
          <w:b/>
          <w:bCs/>
        </w:rPr>
        <w:t>]</w:t>
      </w:r>
      <w:r w:rsidRPr="006E1065">
        <w:rPr>
          <w:b/>
          <w:bCs/>
        </w:rPr>
        <w:t xml:space="preserve"> obtained exceed</w:t>
      </w:r>
      <w:r w:rsidR="00147A26" w:rsidRPr="006E1065">
        <w:rPr>
          <w:b/>
          <w:bCs/>
        </w:rPr>
        <w:t>ed</w:t>
      </w:r>
      <w:r w:rsidRPr="006E1065">
        <w:rPr>
          <w:b/>
          <w:bCs/>
        </w:rPr>
        <w:t xml:space="preserve"> $750.</w:t>
      </w:r>
    </w:p>
    <w:p w14:paraId="3312792D" w14:textId="77777777" w:rsidR="00C2317E" w:rsidRPr="006E1065" w:rsidRDefault="00C2317E" w:rsidP="00CD03DC">
      <w:pPr>
        <w:rPr>
          <w:b/>
          <w:bCs/>
        </w:rPr>
      </w:pPr>
      <w:r w:rsidRPr="006E1065">
        <w:rPr>
          <w:b/>
          <w:bCs/>
        </w:rPr>
        <w:t>“Value” means the greatest amount of economic loss the card issuer, gift card seller, or cardholder might reasonably suffer, including the full or maximum monetary face or load value of the gift card, regardless of whether the gift card has been activated.</w:t>
      </w:r>
    </w:p>
    <w:p w14:paraId="3AE0235C" w14:textId="47F72089" w:rsidR="00C2317E" w:rsidRPr="006E1065" w:rsidRDefault="00C2317E" w:rsidP="00CD03DC">
      <w:pPr>
        <w:rPr>
          <w:b/>
          <w:bCs/>
        </w:rPr>
      </w:pPr>
      <w:r w:rsidRPr="006E1065">
        <w:rPr>
          <w:b/>
          <w:bCs/>
        </w:rPr>
        <w:t>The value of any [gift card] [gift card redemption information] [money] [goods] [services] [or other thing of value] obtained may be aggregated</w:t>
      </w:r>
      <w:r w:rsidR="00D96CFA" w:rsidRPr="006E1065">
        <w:rPr>
          <w:b/>
          <w:bCs/>
        </w:rPr>
        <w:t xml:space="preserve"> to determine the total value</w:t>
      </w:r>
      <w:r w:rsidRPr="006E1065">
        <w:rPr>
          <w:b/>
          <w:bCs/>
        </w:rPr>
        <w:t>.</w:t>
      </w:r>
    </w:p>
    <w:p w14:paraId="1390097F" w14:textId="5F1ED74C" w:rsidR="007E1ED1" w:rsidRPr="006E1065" w:rsidRDefault="007E1ED1" w:rsidP="00CD03DC">
      <w:pPr>
        <w:rPr>
          <w:b/>
          <w:bCs/>
        </w:rPr>
      </w:pPr>
      <w:bookmarkStart w:id="0" w:name="_Hlk179973530"/>
      <w:bookmarkStart w:id="1" w:name="_Hlk179974042"/>
      <w:r w:rsidRPr="006E1065">
        <w:rPr>
          <w:b/>
          <w:bCs/>
        </w:rPr>
        <w:t xml:space="preserve">“Defraud” means to </w:t>
      </w:r>
      <w:r w:rsidR="00AC443C" w:rsidRPr="006E1065">
        <w:rPr>
          <w:b/>
          <w:bCs/>
        </w:rPr>
        <w:t>obtain something from another by deception.</w:t>
      </w:r>
    </w:p>
    <w:p w14:paraId="6462B5B2" w14:textId="77777777" w:rsidR="001E5B5D" w:rsidRDefault="001E5B5D">
      <w:pPr>
        <w:spacing w:after="160"/>
        <w:ind w:firstLine="0"/>
        <w:rPr>
          <w:rFonts w:cs="Times New Roman"/>
          <w:i/>
          <w:iCs/>
          <w:szCs w:val="24"/>
        </w:rPr>
      </w:pPr>
      <w:r>
        <w:br w:type="page"/>
      </w:r>
    </w:p>
    <w:p w14:paraId="0F44D917" w14:textId="2D104639" w:rsidR="007E1ED1" w:rsidRPr="006E1065" w:rsidRDefault="007E1ED1" w:rsidP="00CD03DC">
      <w:pPr>
        <w:pStyle w:val="SJITextItalic"/>
        <w:rPr>
          <w:b/>
          <w:bCs/>
        </w:rPr>
      </w:pPr>
      <w:r w:rsidRPr="006E1065">
        <w:lastRenderedPageBreak/>
        <w:t>Give definitions below as applicable.</w:t>
      </w:r>
    </w:p>
    <w:p w14:paraId="5A4F2E0D" w14:textId="425AC928" w:rsidR="00785F37" w:rsidRPr="001E5B5D" w:rsidRDefault="00785F37" w:rsidP="001E5B5D">
      <w:pPr>
        <w:rPr>
          <w:b/>
          <w:bCs/>
        </w:rPr>
      </w:pPr>
      <w:r w:rsidRPr="001E5B5D">
        <w:rPr>
          <w:b/>
          <w:bCs/>
        </w:rPr>
        <w:t xml:space="preserve">“Cardholder” means a person to whom a physical or virtual gift card is sold, gifted, or issued following the authorized sale of the gift card. </w:t>
      </w:r>
    </w:p>
    <w:p w14:paraId="55696C41" w14:textId="0AF29CF0" w:rsidR="00785F37" w:rsidRPr="001E5B5D" w:rsidRDefault="00785F37" w:rsidP="001E5B5D">
      <w:pPr>
        <w:rPr>
          <w:b/>
          <w:bCs/>
        </w:rPr>
      </w:pPr>
      <w:r w:rsidRPr="001E5B5D">
        <w:rPr>
          <w:b/>
          <w:bCs/>
        </w:rPr>
        <w:t xml:space="preserve">“Card issuer” means a person that issues a gift card or the agent of that person with respect to that card. </w:t>
      </w:r>
    </w:p>
    <w:p w14:paraId="455B9985" w14:textId="35826214" w:rsidR="00785F37" w:rsidRPr="001E5B5D" w:rsidRDefault="00C2317E" w:rsidP="001E5B5D">
      <w:pPr>
        <w:rPr>
          <w:b/>
          <w:bCs/>
        </w:rPr>
      </w:pPr>
      <w:r w:rsidRPr="001E5B5D">
        <w:rPr>
          <w:b/>
          <w:bCs/>
        </w:rPr>
        <w:t>“</w:t>
      </w:r>
      <w:r w:rsidR="00785F37" w:rsidRPr="001E5B5D">
        <w:rPr>
          <w:b/>
          <w:bCs/>
        </w:rPr>
        <w:t xml:space="preserve">Gift card” means a physical or virtual card, code, or device that may be issued to a consumer on a prepaid basis primarily for personal, family, or household purposes in a specified amount, regardless of whether that amount may be increased or reloaded in exchange for payment, and that is redeemable upon presentation by a consumer at a single merchant, a group of affiliated merchants, or a group of unaffiliated merchants. </w:t>
      </w:r>
    </w:p>
    <w:p w14:paraId="0F0D1EE6" w14:textId="38E67179" w:rsidR="00785F37" w:rsidRPr="001E5B5D" w:rsidRDefault="00785F37" w:rsidP="001E5B5D">
      <w:pPr>
        <w:rPr>
          <w:b/>
          <w:bCs/>
        </w:rPr>
      </w:pPr>
      <w:r w:rsidRPr="001E5B5D">
        <w:rPr>
          <w:b/>
          <w:bCs/>
        </w:rPr>
        <w:t xml:space="preserve">“Gift card redemption information” means information unique to each gift card which allows the cardholder to access, transfer, or spend the funds on that gift card. </w:t>
      </w:r>
    </w:p>
    <w:p w14:paraId="5C618475" w14:textId="415E4510" w:rsidR="00785F37" w:rsidRPr="001E5B5D" w:rsidRDefault="00785F37" w:rsidP="001E5B5D">
      <w:pPr>
        <w:rPr>
          <w:b/>
          <w:bCs/>
        </w:rPr>
      </w:pPr>
      <w:r w:rsidRPr="001E5B5D">
        <w:rPr>
          <w:b/>
          <w:bCs/>
        </w:rPr>
        <w:t xml:space="preserve">“Gift card seller” means a merchant that is engaged in the business of selling gift cards to consumers. </w:t>
      </w:r>
    </w:p>
    <w:p w14:paraId="7D0C4ABF" w14:textId="4C7FC34D" w:rsidR="00D96CFA" w:rsidRPr="001E5B5D" w:rsidRDefault="00D96CFA" w:rsidP="001E5B5D">
      <w:pPr>
        <w:rPr>
          <w:rFonts w:cs="Aptos"/>
          <w:b/>
          <w:bCs/>
        </w:rPr>
      </w:pPr>
      <w:r w:rsidRPr="001E5B5D">
        <w:rPr>
          <w:rFonts w:cs="Aptos"/>
          <w:b/>
          <w:bCs/>
        </w:rPr>
        <w:t xml:space="preserve">“Possession” of an item means the State must prove beyond a reasonable doubt that the defendant a) knew of the existence of the item and b) intentionally exercised control over that item. </w:t>
      </w:r>
    </w:p>
    <w:p w14:paraId="1DBFB40E" w14:textId="5C276F8A" w:rsidR="00D96CFA" w:rsidRPr="001E5B5D" w:rsidRDefault="00D96CFA" w:rsidP="001E5B5D">
      <w:pPr>
        <w:rPr>
          <w:rFonts w:cs="Aptos"/>
          <w:b/>
          <w:bCs/>
        </w:rPr>
      </w:pPr>
      <w:r w:rsidRPr="001E5B5D">
        <w:rPr>
          <w:rFonts w:cs="Aptos"/>
          <w:b/>
          <w:bCs/>
        </w:rPr>
        <w:t xml:space="preserve">Control can be exercised over an item whether the item is carried on a person, near a person, or in </w:t>
      </w:r>
      <w:proofErr w:type="gramStart"/>
      <w:r w:rsidRPr="001E5B5D">
        <w:rPr>
          <w:rFonts w:cs="Aptos"/>
          <w:b/>
          <w:bCs/>
        </w:rPr>
        <w:t>a completely separate</w:t>
      </w:r>
      <w:proofErr w:type="gramEnd"/>
      <w:r w:rsidRPr="001E5B5D">
        <w:rPr>
          <w:rFonts w:cs="Aptos"/>
          <w:b/>
          <w:bCs/>
        </w:rPr>
        <w:t xml:space="preserve"> location. Mere proximity to an item does not establish that the person intentionally exercised control over the item in the absence of additional evidence. Control can be established by proof that (defendant) had direct personal power to control the item or the present ability to direct its control by another.</w:t>
      </w:r>
    </w:p>
    <w:p w14:paraId="557FC474" w14:textId="432EB205" w:rsidR="00D96CFA" w:rsidRPr="001E5B5D" w:rsidRDefault="00D96CFA" w:rsidP="001E5B5D">
      <w:pPr>
        <w:rPr>
          <w:rFonts w:cs="Aptos"/>
          <w:b/>
          <w:bCs/>
        </w:rPr>
      </w:pPr>
      <w:r w:rsidRPr="001E5B5D">
        <w:rPr>
          <w:rFonts w:cs="Aptos"/>
          <w:b/>
          <w:bCs/>
        </w:rPr>
        <w:t xml:space="preserve">Possession of an item may be sole or joint, that is, two or more </w:t>
      </w:r>
      <w:proofErr w:type="gramStart"/>
      <w:r w:rsidRPr="001E5B5D">
        <w:rPr>
          <w:rFonts w:cs="Aptos"/>
          <w:b/>
          <w:bCs/>
        </w:rPr>
        <w:t>persons</w:t>
      </w:r>
      <w:proofErr w:type="gramEnd"/>
      <w:r w:rsidRPr="001E5B5D">
        <w:rPr>
          <w:rFonts w:cs="Aptos"/>
          <w:b/>
          <w:bCs/>
        </w:rPr>
        <w:t xml:space="preserve"> may possess an item.</w:t>
      </w:r>
    </w:p>
    <w:p w14:paraId="6596D864" w14:textId="6F867AD2" w:rsidR="000D44E0" w:rsidRPr="006E1065" w:rsidRDefault="000D44E0" w:rsidP="001E5B5D">
      <w:pPr>
        <w:pStyle w:val="SJIComments"/>
      </w:pPr>
      <w:r w:rsidRPr="006E1065">
        <w:t>Lesser Included Offense</w:t>
      </w:r>
    </w:p>
    <w:p w14:paraId="295F8964" w14:textId="03F0A55D" w:rsidR="000D44E0" w:rsidRPr="006E1065" w:rsidRDefault="00785F37" w:rsidP="001E5B5D">
      <w:pPr>
        <w:pStyle w:val="Heading4"/>
      </w:pPr>
      <w:r w:rsidRPr="006E1065">
        <w:t>20.30</w:t>
      </w:r>
      <w:r w:rsidR="00D12571" w:rsidRPr="006E1065">
        <w:t xml:space="preserve"> </w:t>
      </w:r>
      <w:r w:rsidRPr="006E1065">
        <w:t>F</w:t>
      </w:r>
      <w:r w:rsidR="00D96CFA" w:rsidRPr="006E1065">
        <w:t>RAUDULENT USE OF A GIFT CARD</w:t>
      </w:r>
      <w:r w:rsidR="00A72227" w:rsidRPr="006E1065">
        <w:t xml:space="preserve"> – 817.091(2)</w:t>
      </w:r>
    </w:p>
    <w:tbl>
      <w:tblPr>
        <w:tblStyle w:val="PlainTable1"/>
        <w:tblW w:w="5000" w:type="pct"/>
        <w:tblInd w:w="0" w:type="dxa"/>
        <w:tblLook w:val="0620" w:firstRow="1" w:lastRow="0" w:firstColumn="0" w:lastColumn="0" w:noHBand="1" w:noVBand="1"/>
      </w:tblPr>
      <w:tblGrid>
        <w:gridCol w:w="2148"/>
        <w:gridCol w:w="4058"/>
        <w:gridCol w:w="1799"/>
        <w:gridCol w:w="1345"/>
      </w:tblGrid>
      <w:tr w:rsidR="000D44E0" w:rsidRPr="001E5B5D" w14:paraId="2CF95C45" w14:textId="77777777" w:rsidTr="001E5B5D">
        <w:trPr>
          <w:cnfStyle w:val="100000000000" w:firstRow="1" w:lastRow="0" w:firstColumn="0" w:lastColumn="0" w:oddVBand="0" w:evenVBand="0" w:oddHBand="0" w:evenHBand="0" w:firstRowFirstColumn="0" w:firstRowLastColumn="0" w:lastRowFirstColumn="0" w:lastRowLastColumn="0"/>
        </w:trPr>
        <w:tc>
          <w:tcPr>
            <w:tcW w:w="1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2677BA" w14:textId="77777777" w:rsidR="000D44E0" w:rsidRPr="001E5B5D" w:rsidRDefault="000D44E0" w:rsidP="001E5B5D">
            <w:pPr>
              <w:pStyle w:val="SJITableText"/>
            </w:pPr>
            <w:r w:rsidRPr="001E5B5D">
              <w:t>CATEGORY ONE</w:t>
            </w:r>
          </w:p>
        </w:tc>
        <w:tc>
          <w:tcPr>
            <w:tcW w:w="2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CBEF77" w14:textId="77777777" w:rsidR="000D44E0" w:rsidRPr="001E5B5D" w:rsidRDefault="000D44E0" w:rsidP="001E5B5D">
            <w:pPr>
              <w:pStyle w:val="SJITableText"/>
            </w:pPr>
            <w:r w:rsidRPr="001E5B5D">
              <w:t>CATEGORY TWO</w:t>
            </w:r>
          </w:p>
        </w:tc>
        <w:tc>
          <w:tcPr>
            <w:tcW w:w="9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AE7A5A" w14:textId="77777777" w:rsidR="000D44E0" w:rsidRPr="001E5B5D" w:rsidRDefault="000D44E0" w:rsidP="001E5B5D">
            <w:pPr>
              <w:pStyle w:val="SJITableText"/>
            </w:pPr>
            <w:r w:rsidRPr="001E5B5D">
              <w:t>FLA. STAT.</w:t>
            </w:r>
          </w:p>
        </w:tc>
        <w:tc>
          <w:tcPr>
            <w:tcW w:w="7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98AB88" w14:textId="77777777" w:rsidR="000D44E0" w:rsidRPr="001E5B5D" w:rsidRDefault="000D44E0" w:rsidP="001E5B5D">
            <w:pPr>
              <w:pStyle w:val="SJITableText"/>
            </w:pPr>
            <w:r w:rsidRPr="001E5B5D">
              <w:t>INS.NO.</w:t>
            </w:r>
          </w:p>
        </w:tc>
      </w:tr>
      <w:tr w:rsidR="000D44E0" w:rsidRPr="001E5B5D" w14:paraId="1718B3AD" w14:textId="77777777" w:rsidTr="001E5B5D">
        <w:tc>
          <w:tcPr>
            <w:tcW w:w="1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559110" w14:textId="2719611F" w:rsidR="000D44E0" w:rsidRPr="001E5B5D" w:rsidRDefault="00147A26" w:rsidP="001E5B5D">
            <w:pPr>
              <w:pStyle w:val="SJITableText"/>
            </w:pPr>
            <w:r w:rsidRPr="001E5B5D">
              <w:t>N</w:t>
            </w:r>
            <w:r w:rsidR="00527B16" w:rsidRPr="001E5B5D">
              <w:t>one</w:t>
            </w:r>
          </w:p>
        </w:tc>
        <w:tc>
          <w:tcPr>
            <w:tcW w:w="2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AB1662" w14:textId="77777777" w:rsidR="000D44E0" w:rsidRPr="001E5B5D" w:rsidRDefault="000D44E0" w:rsidP="001E5B5D">
            <w:pPr>
              <w:pStyle w:val="SJITableText"/>
            </w:pPr>
          </w:p>
        </w:tc>
        <w:tc>
          <w:tcPr>
            <w:tcW w:w="9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86AC4E" w14:textId="2CC0DE80" w:rsidR="000D44E0" w:rsidRPr="001E5B5D" w:rsidRDefault="000D44E0" w:rsidP="001E5B5D">
            <w:pPr>
              <w:pStyle w:val="SJITableText"/>
            </w:pPr>
          </w:p>
        </w:tc>
        <w:tc>
          <w:tcPr>
            <w:tcW w:w="7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8D0C2C" w14:textId="534A7E04" w:rsidR="000D44E0" w:rsidRPr="001E5B5D" w:rsidRDefault="000D44E0" w:rsidP="001E5B5D">
            <w:pPr>
              <w:pStyle w:val="SJITableText"/>
            </w:pPr>
          </w:p>
        </w:tc>
      </w:tr>
      <w:tr w:rsidR="000D44E0" w:rsidRPr="001E5B5D" w14:paraId="3B7A3EFF" w14:textId="77777777" w:rsidTr="001E5B5D">
        <w:tc>
          <w:tcPr>
            <w:tcW w:w="11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1B676" w14:textId="77777777" w:rsidR="000D44E0" w:rsidRPr="001E5B5D" w:rsidRDefault="000D44E0" w:rsidP="001E5B5D">
            <w:pPr>
              <w:pStyle w:val="SJITableText"/>
            </w:pPr>
          </w:p>
        </w:tc>
        <w:tc>
          <w:tcPr>
            <w:tcW w:w="21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192B4" w14:textId="3C75E9AF" w:rsidR="000D44E0" w:rsidRPr="001E5B5D" w:rsidRDefault="00147A26" w:rsidP="001E5B5D">
            <w:pPr>
              <w:pStyle w:val="SJITableText"/>
            </w:pPr>
            <w:r w:rsidRPr="001E5B5D">
              <w:t>T</w:t>
            </w:r>
            <w:r w:rsidR="00527B16" w:rsidRPr="001E5B5D">
              <w:t>heft</w:t>
            </w:r>
          </w:p>
        </w:tc>
        <w:tc>
          <w:tcPr>
            <w:tcW w:w="9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5C1F5" w14:textId="7F28C3CC" w:rsidR="000D44E0" w:rsidRPr="001E5B5D" w:rsidRDefault="00147A26" w:rsidP="001E5B5D">
            <w:pPr>
              <w:pStyle w:val="SJITableText"/>
            </w:pPr>
            <w:r w:rsidRPr="001E5B5D">
              <w:t>812.014</w:t>
            </w:r>
          </w:p>
        </w:tc>
        <w:tc>
          <w:tcPr>
            <w:tcW w:w="7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EA12E" w14:textId="04BD987B" w:rsidR="000D44E0" w:rsidRPr="001E5B5D" w:rsidRDefault="00147A26" w:rsidP="001E5B5D">
            <w:pPr>
              <w:pStyle w:val="SJITableText"/>
            </w:pPr>
            <w:r w:rsidRPr="001E5B5D">
              <w:t>14.1</w:t>
            </w:r>
          </w:p>
        </w:tc>
      </w:tr>
    </w:tbl>
    <w:bookmarkEnd w:id="0"/>
    <w:bookmarkEnd w:id="1"/>
    <w:p w14:paraId="4E3536F6" w14:textId="6E16E4FE" w:rsidR="00D12571" w:rsidRPr="006E1065" w:rsidRDefault="00D12571" w:rsidP="001E5B5D">
      <w:pPr>
        <w:pStyle w:val="SJIComments"/>
      </w:pPr>
      <w:r w:rsidRPr="006E1065">
        <w:t>Comment</w:t>
      </w:r>
      <w:r w:rsidR="00527B16" w:rsidRPr="006E1065">
        <w:t>s</w:t>
      </w:r>
    </w:p>
    <w:p w14:paraId="46F44D48" w14:textId="39E16853" w:rsidR="00261E61" w:rsidRPr="006E1065" w:rsidRDefault="00527B16" w:rsidP="001E5B5D">
      <w:r w:rsidRPr="006E1065">
        <w:t xml:space="preserve">Fraudulent Use of a Gift Card becomes a </w:t>
      </w:r>
      <w:proofErr w:type="gramStart"/>
      <w:r w:rsidRPr="006E1065">
        <w:t>third</w:t>
      </w:r>
      <w:r w:rsidR="00261E61" w:rsidRPr="006E1065">
        <w:t xml:space="preserve"> </w:t>
      </w:r>
      <w:r w:rsidRPr="006E1065">
        <w:t>degree</w:t>
      </w:r>
      <w:proofErr w:type="gramEnd"/>
      <w:r w:rsidRPr="006E1065">
        <w:t xml:space="preserve"> felony </w:t>
      </w:r>
      <w:r w:rsidR="00460589" w:rsidRPr="006E1065">
        <w:t xml:space="preserve">if the defendant had previously been convicted of violating § 817.091(2), Fla. Stat. </w:t>
      </w:r>
    </w:p>
    <w:p w14:paraId="018A22F8" w14:textId="507603B7" w:rsidR="00527B16" w:rsidRPr="006E1065" w:rsidRDefault="00460589" w:rsidP="001E5B5D">
      <w:r w:rsidRPr="006E1065">
        <w:lastRenderedPageBreak/>
        <w:t xml:space="preserve">As of </w:t>
      </w:r>
      <w:r w:rsidR="00300E31" w:rsidRPr="006E1065">
        <w:t>February 2026</w:t>
      </w:r>
      <w:r w:rsidRPr="006E1065">
        <w:t xml:space="preserve">, it was undecided whether a prior conviction is an element of the crime that must be proven to the jury beyond a reasonable doubt or is a recidivist factor that can be proven to the judge at sentencing under the preponderance of the evidence standard. If treated as an element, </w:t>
      </w:r>
      <w:r w:rsidR="003D0CBA" w:rsidRPr="006E1065">
        <w:t xml:space="preserve">it is error to inform the jury of the prior conviction prior to a verdict. If the charging document contains an allegation of a prior conviction, do not read that allegation and do not send the charging document into the jury room. </w:t>
      </w:r>
      <w:r w:rsidR="00C2317E" w:rsidRPr="006E1065">
        <w:t xml:space="preserve">If the defendant is found guilty of Fraudulent Use of a Gift Card, the historical fact of a prior conviction should be determined in a bifurcated proceeding. </w:t>
      </w:r>
    </w:p>
    <w:p w14:paraId="58778F30" w14:textId="768C1E6B" w:rsidR="00C2317E" w:rsidRPr="006E1065" w:rsidRDefault="00C2317E" w:rsidP="001E5B5D">
      <w:r w:rsidRPr="006E1065">
        <w:t xml:space="preserve">As of </w:t>
      </w:r>
      <w:r w:rsidR="00300E31" w:rsidRPr="006E1065">
        <w:t>February 2026</w:t>
      </w:r>
      <w:r w:rsidRPr="006E1065">
        <w:t xml:space="preserve">, it was </w:t>
      </w:r>
      <w:r w:rsidR="00261E61" w:rsidRPr="006E1065">
        <w:t xml:space="preserve">also </w:t>
      </w:r>
      <w:r w:rsidRPr="006E1065">
        <w:t xml:space="preserve">unclear whether a prior conviction requires an adjudication of guilt. </w:t>
      </w:r>
    </w:p>
    <w:p w14:paraId="2B1AF86F" w14:textId="1F40CA7D" w:rsidR="000D44E0" w:rsidRPr="006E1065" w:rsidRDefault="00D12571" w:rsidP="001E5B5D">
      <w:r w:rsidRPr="006E1065">
        <w:t xml:space="preserve">This instruction was adopted </w:t>
      </w:r>
      <w:r w:rsidR="00EA5AEF" w:rsidRPr="006E1065">
        <w:t xml:space="preserve">on </w:t>
      </w:r>
      <w:r w:rsidR="00300E31" w:rsidRPr="006E1065">
        <w:t xml:space="preserve">March 20, </w:t>
      </w:r>
      <w:r w:rsidR="00EA5AEF" w:rsidRPr="006E1065">
        <w:t>202</w:t>
      </w:r>
      <w:r w:rsidR="00261E61" w:rsidRPr="006E1065">
        <w:t>6</w:t>
      </w:r>
      <w:r w:rsidR="00EA5AEF" w:rsidRPr="006E1065">
        <w:t>.</w:t>
      </w:r>
    </w:p>
    <w:p w14:paraId="5EC770C5" w14:textId="77777777" w:rsidR="00147A26" w:rsidRPr="006E1065" w:rsidRDefault="00147A26" w:rsidP="001B5EBC">
      <w:pPr>
        <w:rPr>
          <w:sz w:val="24"/>
          <w:szCs w:val="24"/>
        </w:rPr>
      </w:pPr>
    </w:p>
    <w:sectPr w:rsidR="00147A26" w:rsidRPr="006E1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316EA4B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AF03B19"/>
    <w:multiLevelType w:val="hybridMultilevel"/>
    <w:tmpl w:val="90F69EF6"/>
    <w:lvl w:ilvl="0" w:tplc="EE42F25C">
      <w:start w:val="1"/>
      <w:numFmt w:val="lowerLetter"/>
      <w:lvlText w:val="%1."/>
      <w:lvlJc w:val="left"/>
      <w:pPr>
        <w:ind w:left="1512" w:hanging="360"/>
      </w:pPr>
      <w:rPr>
        <w:rFonts w:hint="default"/>
        <w:u w:val="none"/>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214912B7"/>
    <w:multiLevelType w:val="hybridMultilevel"/>
    <w:tmpl w:val="FFFFFFFF"/>
    <w:lvl w:ilvl="0" w:tplc="54325CA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48C1440"/>
    <w:multiLevelType w:val="hybridMultilevel"/>
    <w:tmpl w:val="0F3C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D6631"/>
    <w:multiLevelType w:val="hybridMultilevel"/>
    <w:tmpl w:val="34D2D552"/>
    <w:lvl w:ilvl="0" w:tplc="4E6AD21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E52A23"/>
    <w:multiLevelType w:val="hybridMultilevel"/>
    <w:tmpl w:val="836C2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5B77D8"/>
    <w:multiLevelType w:val="hybridMultilevel"/>
    <w:tmpl w:val="E4BA598A"/>
    <w:lvl w:ilvl="0" w:tplc="BE7ADD80">
      <w:start w:val="1"/>
      <w:numFmt w:val="lowerLetter"/>
      <w:lvlText w:val="%1."/>
      <w:lvlJc w:val="right"/>
      <w:pPr>
        <w:ind w:left="1620" w:hanging="360"/>
      </w:pPr>
      <w:rPr>
        <w:rFonts w:cs="Times New Roman"/>
        <w:b/>
        <w:i w:val="0"/>
        <w:iCs w:val="0"/>
        <w:strike w:val="0"/>
        <w:dstrike w:val="0"/>
        <w:u w:val="none"/>
        <w:effect w:val="none"/>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6E45227C"/>
    <w:multiLevelType w:val="hybridMultilevel"/>
    <w:tmpl w:val="DFE4E8D6"/>
    <w:lvl w:ilvl="0" w:tplc="DD70936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1735169">
    <w:abstractNumId w:val="3"/>
  </w:num>
  <w:num w:numId="2" w16cid:durableId="1767312254">
    <w:abstractNumId w:val="7"/>
  </w:num>
  <w:num w:numId="3" w16cid:durableId="2033608237">
    <w:abstractNumId w:val="2"/>
  </w:num>
  <w:num w:numId="4" w16cid:durableId="706175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877564">
    <w:abstractNumId w:val="1"/>
  </w:num>
  <w:num w:numId="6" w16cid:durableId="1665282348">
    <w:abstractNumId w:val="0"/>
  </w:num>
  <w:num w:numId="7" w16cid:durableId="285163661">
    <w:abstractNumId w:val="0"/>
  </w:num>
  <w:num w:numId="8" w16cid:durableId="385642361">
    <w:abstractNumId w:val="4"/>
  </w:num>
  <w:num w:numId="9" w16cid:durableId="203052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18"/>
    <w:rsid w:val="0001494E"/>
    <w:rsid w:val="0002347B"/>
    <w:rsid w:val="00023569"/>
    <w:rsid w:val="00036488"/>
    <w:rsid w:val="000536A2"/>
    <w:rsid w:val="000543EF"/>
    <w:rsid w:val="000B41F2"/>
    <w:rsid w:val="000D44E0"/>
    <w:rsid w:val="000E2179"/>
    <w:rsid w:val="00147A26"/>
    <w:rsid w:val="001B5EBC"/>
    <w:rsid w:val="001E5B5D"/>
    <w:rsid w:val="001F57B5"/>
    <w:rsid w:val="00261E61"/>
    <w:rsid w:val="002D4461"/>
    <w:rsid w:val="00300E31"/>
    <w:rsid w:val="00393DC3"/>
    <w:rsid w:val="003D0CBA"/>
    <w:rsid w:val="00456377"/>
    <w:rsid w:val="00460589"/>
    <w:rsid w:val="00490A85"/>
    <w:rsid w:val="004C24B1"/>
    <w:rsid w:val="00527B16"/>
    <w:rsid w:val="00605597"/>
    <w:rsid w:val="00640008"/>
    <w:rsid w:val="00657B38"/>
    <w:rsid w:val="006736F6"/>
    <w:rsid w:val="006B232B"/>
    <w:rsid w:val="006C21E3"/>
    <w:rsid w:val="006E1065"/>
    <w:rsid w:val="00706F18"/>
    <w:rsid w:val="007554F6"/>
    <w:rsid w:val="00777BB6"/>
    <w:rsid w:val="00785F37"/>
    <w:rsid w:val="007E1ED1"/>
    <w:rsid w:val="00883B81"/>
    <w:rsid w:val="008D1BFC"/>
    <w:rsid w:val="00900AAE"/>
    <w:rsid w:val="00943EA9"/>
    <w:rsid w:val="009A73FC"/>
    <w:rsid w:val="009D6C58"/>
    <w:rsid w:val="00A437C1"/>
    <w:rsid w:val="00A72227"/>
    <w:rsid w:val="00A80945"/>
    <w:rsid w:val="00AC443C"/>
    <w:rsid w:val="00AD229E"/>
    <w:rsid w:val="00B0656B"/>
    <w:rsid w:val="00B10E97"/>
    <w:rsid w:val="00B20FFD"/>
    <w:rsid w:val="00BD15CC"/>
    <w:rsid w:val="00C005B6"/>
    <w:rsid w:val="00C2317E"/>
    <w:rsid w:val="00C23DF3"/>
    <w:rsid w:val="00C358B8"/>
    <w:rsid w:val="00C42050"/>
    <w:rsid w:val="00CD03DC"/>
    <w:rsid w:val="00CE060B"/>
    <w:rsid w:val="00CF191E"/>
    <w:rsid w:val="00D12571"/>
    <w:rsid w:val="00D96CFA"/>
    <w:rsid w:val="00DE3B1A"/>
    <w:rsid w:val="00DF269A"/>
    <w:rsid w:val="00EA5AEF"/>
    <w:rsid w:val="00EE1A6D"/>
    <w:rsid w:val="00FA4D44"/>
    <w:rsid w:val="00FC620F"/>
    <w:rsid w:val="00FD5958"/>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7DE8"/>
  <w15:chartTrackingRefBased/>
  <w15:docId w15:val="{1B054470-0364-4A49-9A13-3CC3F712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DC"/>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CD03DC"/>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CD03DC"/>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CD03DC"/>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CD03DC"/>
    <w:pPr>
      <w:outlineLvl w:val="3"/>
    </w:pPr>
    <w:rPr>
      <w:rFonts w:cstheme="majorBidi"/>
    </w:rPr>
  </w:style>
  <w:style w:type="paragraph" w:styleId="Heading5">
    <w:name w:val="heading 5"/>
    <w:basedOn w:val="Normal"/>
    <w:next w:val="Normal"/>
    <w:link w:val="Heading5Char"/>
    <w:uiPriority w:val="9"/>
    <w:qFormat/>
    <w:rsid w:val="00CD03DC"/>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CD03DC"/>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CD03DC"/>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CD03DC"/>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CD03DC"/>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DC"/>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CD03DC"/>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CD03DC"/>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CD03DC"/>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CD03DC"/>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CD03DC"/>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CD03DC"/>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CD03DC"/>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CD03DC"/>
    <w:rPr>
      <w:rFonts w:ascii="Arial" w:eastAsiaTheme="majorEastAsia" w:hAnsi="Arial" w:cs="Arial"/>
      <w:color w:val="000000"/>
    </w:rPr>
  </w:style>
  <w:style w:type="paragraph" w:styleId="Title">
    <w:name w:val="Title"/>
    <w:basedOn w:val="NoSpacing"/>
    <w:next w:val="Normal"/>
    <w:link w:val="TitleChar"/>
    <w:uiPriority w:val="10"/>
    <w:qFormat/>
    <w:rsid w:val="00CD03DC"/>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CD03DC"/>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CD03DC"/>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CD03DC"/>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CD03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03DC"/>
    <w:rPr>
      <w:rFonts w:ascii="Bookman Old Style" w:hAnsi="Bookman Old Style"/>
      <w:i/>
      <w:iCs/>
      <w:color w:val="404040" w:themeColor="text1" w:themeTint="BF"/>
    </w:rPr>
  </w:style>
  <w:style w:type="paragraph" w:styleId="ListParagraph">
    <w:name w:val="List Paragraph"/>
    <w:basedOn w:val="Normal"/>
    <w:uiPriority w:val="34"/>
    <w:qFormat/>
    <w:rsid w:val="00CD03DC"/>
    <w:pPr>
      <w:ind w:left="720"/>
    </w:pPr>
  </w:style>
  <w:style w:type="character" w:styleId="IntenseEmphasis">
    <w:name w:val="Intense Emphasis"/>
    <w:basedOn w:val="DefaultParagraphFont"/>
    <w:uiPriority w:val="21"/>
    <w:qFormat/>
    <w:rsid w:val="00706F18"/>
    <w:rPr>
      <w:i/>
      <w:iCs/>
      <w:color w:val="156082" w:themeColor="accent1"/>
    </w:rPr>
  </w:style>
  <w:style w:type="paragraph" w:styleId="IntenseQuote">
    <w:name w:val="Intense Quote"/>
    <w:basedOn w:val="Normal"/>
    <w:next w:val="Normal"/>
    <w:link w:val="IntenseQuoteChar"/>
    <w:uiPriority w:val="30"/>
    <w:qFormat/>
    <w:rsid w:val="00CD03D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D03DC"/>
    <w:rPr>
      <w:rFonts w:ascii="Bookman Old Style" w:hAnsi="Bookman Old Style"/>
      <w:i/>
      <w:iCs/>
      <w:color w:val="156082" w:themeColor="accent1"/>
    </w:rPr>
  </w:style>
  <w:style w:type="character" w:styleId="IntenseReference">
    <w:name w:val="Intense Reference"/>
    <w:basedOn w:val="DefaultParagraphFont"/>
    <w:uiPriority w:val="32"/>
    <w:qFormat/>
    <w:rsid w:val="00706F18"/>
    <w:rPr>
      <w:b/>
      <w:bCs/>
      <w:smallCaps/>
      <w:color w:val="156082" w:themeColor="accent1"/>
      <w:spacing w:val="5"/>
    </w:rPr>
  </w:style>
  <w:style w:type="paragraph" w:customStyle="1" w:styleId="SJIStatuteinTitle">
    <w:name w:val="SJI Statute in Title"/>
    <w:basedOn w:val="Normal"/>
    <w:qFormat/>
    <w:rsid w:val="00CD03DC"/>
    <w:pPr>
      <w:spacing w:after="240" w:line="240" w:lineRule="auto"/>
      <w:ind w:firstLine="0"/>
      <w:jc w:val="center"/>
    </w:pPr>
    <w:rPr>
      <w:rFonts w:cs="Times New Roman"/>
      <w:sz w:val="24"/>
      <w:szCs w:val="24"/>
    </w:rPr>
  </w:style>
  <w:style w:type="paragraph" w:styleId="NormalWeb">
    <w:name w:val="Normal (Web)"/>
    <w:basedOn w:val="Normal"/>
    <w:uiPriority w:val="99"/>
    <w:unhideWhenUsed/>
    <w:rsid w:val="00FD5958"/>
    <w:pPr>
      <w:spacing w:before="100" w:beforeAutospacing="1" w:after="100" w:afterAutospacing="1" w:line="240" w:lineRule="auto"/>
    </w:pPr>
    <w:rPr>
      <w:rFonts w:ascii="Times New Roman" w:hAnsi="Times New Roman" w:cs="Times New Roman"/>
      <w:sz w:val="24"/>
      <w:szCs w:val="24"/>
    </w:rPr>
  </w:style>
  <w:style w:type="paragraph" w:customStyle="1" w:styleId="SJITableText">
    <w:name w:val="SJI Table Text"/>
    <w:basedOn w:val="Normal"/>
    <w:qFormat/>
    <w:rsid w:val="00CD03DC"/>
    <w:pPr>
      <w:widowControl w:val="0"/>
      <w:autoSpaceDE w:val="0"/>
      <w:autoSpaceDN w:val="0"/>
      <w:adjustRightInd w:val="0"/>
      <w:spacing w:after="0" w:line="240" w:lineRule="auto"/>
      <w:ind w:firstLine="0"/>
    </w:pPr>
    <w:rPr>
      <w:rFonts w:cs="Calibri"/>
      <w:bCs/>
      <w:szCs w:val="20"/>
    </w:rPr>
  </w:style>
  <w:style w:type="table" w:styleId="PlainTable1">
    <w:name w:val="Plain Table 1"/>
    <w:basedOn w:val="TableNormal"/>
    <w:uiPriority w:val="41"/>
    <w:rsid w:val="000D44E0"/>
    <w:pPr>
      <w:spacing w:after="0" w:line="240" w:lineRule="auto"/>
    </w:pPr>
    <w:rPr>
      <w:rFonts w:cs="Calibr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hAnsi="Calibri" w:cs="Calibri" w:hint="default"/>
        <w:b/>
        <w:bCs/>
      </w:rPr>
    </w:tblStylePr>
    <w:tblStylePr w:type="lastRow">
      <w:rPr>
        <w:rFonts w:ascii="Calibri" w:hAnsi="Calibri" w:cs="Calibri" w:hint="default"/>
        <w:b/>
        <w:bCs/>
      </w:rPr>
      <w:tblPr/>
      <w:tcPr>
        <w:tcBorders>
          <w:top w:val="double" w:sz="4" w:space="0" w:color="BFBFBF" w:themeColor="background1" w:themeShade="BF"/>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hemeFill="background1" w:themeFillShade="F2"/>
      </w:tcPr>
    </w:tblStylePr>
    <w:tblStylePr w:type="band1Horz">
      <w:rPr>
        <w:rFonts w:ascii="Calibri" w:hAnsi="Calibri" w:cs="Calibri" w:hint="default"/>
      </w:rPr>
      <w:tblPr/>
      <w:tcPr>
        <w:shd w:val="clear" w:color="auto" w:fill="F2F2F2" w:themeFill="background1" w:themeFillShade="F2"/>
      </w:tcPr>
    </w:tblStylePr>
  </w:style>
  <w:style w:type="paragraph" w:customStyle="1" w:styleId="SJITextItalic">
    <w:name w:val="SJI Text Italic"/>
    <w:basedOn w:val="Normal"/>
    <w:qFormat/>
    <w:locked/>
    <w:rsid w:val="00CD03DC"/>
    <w:pPr>
      <w:tabs>
        <w:tab w:val="left" w:pos="720"/>
      </w:tabs>
      <w:suppressAutoHyphens/>
      <w:spacing w:after="0"/>
    </w:pPr>
    <w:rPr>
      <w:rFonts w:cs="Times New Roman"/>
      <w:i/>
      <w:iCs/>
      <w:szCs w:val="24"/>
    </w:rPr>
  </w:style>
  <w:style w:type="table" w:customStyle="1" w:styleId="TableGrid1">
    <w:name w:val="Table Grid1"/>
    <w:basedOn w:val="TableNormal"/>
    <w:uiPriority w:val="99"/>
    <w:rsid w:val="00147A26"/>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paragraph" w:customStyle="1" w:styleId="SJIlist1">
    <w:name w:val="SJI list 1"/>
    <w:basedOn w:val="Normal"/>
    <w:qFormat/>
    <w:rsid w:val="00CD03DC"/>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CD03DC"/>
    <w:rPr>
      <w:rFonts w:cs="Times New Roman"/>
    </w:rPr>
  </w:style>
  <w:style w:type="paragraph" w:customStyle="1" w:styleId="SJITableTitle">
    <w:name w:val="SJI Table Title"/>
    <w:basedOn w:val="Normal"/>
    <w:qFormat/>
    <w:rsid w:val="00CD03DC"/>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CD03DC"/>
    <w:pPr>
      <w:spacing w:before="220"/>
      <w:ind w:firstLine="0"/>
      <w:jc w:val="center"/>
    </w:pPr>
    <w:rPr>
      <w:rFonts w:cs="Courier New"/>
      <w:b/>
    </w:rPr>
  </w:style>
  <w:style w:type="paragraph" w:customStyle="1" w:styleId="SJIInstructionlist1">
    <w:name w:val="SJI Instruction list 1"/>
    <w:basedOn w:val="Normal"/>
    <w:qFormat/>
    <w:rsid w:val="00CD03D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D03DC"/>
    <w:pPr>
      <w:numPr>
        <w:numId w:val="7"/>
      </w:numPr>
    </w:pPr>
    <w:rPr>
      <w:rFonts w:cs="Times New Roman"/>
    </w:rPr>
  </w:style>
  <w:style w:type="paragraph" w:customStyle="1" w:styleId="SJITableNotation">
    <w:name w:val="SJI Table Notation"/>
    <w:basedOn w:val="SJITableText"/>
    <w:qFormat/>
    <w:rsid w:val="00CD03DC"/>
    <w:pPr>
      <w:spacing w:before="120" w:after="240"/>
    </w:pPr>
    <w:rPr>
      <w:rFonts w:cs="Times New Roman"/>
    </w:rPr>
  </w:style>
  <w:style w:type="character" w:customStyle="1" w:styleId="SJIBold">
    <w:name w:val="SJI Bold"/>
    <w:uiPriority w:val="1"/>
    <w:qFormat/>
    <w:rsid w:val="00CD03DC"/>
    <w:rPr>
      <w:b/>
    </w:rPr>
  </w:style>
  <w:style w:type="paragraph" w:styleId="Caption">
    <w:name w:val="caption"/>
    <w:basedOn w:val="Normal"/>
    <w:next w:val="Normal"/>
    <w:uiPriority w:val="35"/>
    <w:semiHidden/>
    <w:unhideWhenUsed/>
    <w:qFormat/>
    <w:rsid w:val="00CD03DC"/>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CD03DC"/>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CD03DC"/>
    <w:pPr>
      <w:spacing w:after="120"/>
    </w:pPr>
    <w:rPr>
      <w:rFonts w:cs="Times New Roman"/>
    </w:rPr>
  </w:style>
  <w:style w:type="character" w:customStyle="1" w:styleId="BodyTextChar">
    <w:name w:val="Body Text Char"/>
    <w:basedOn w:val="DefaultParagraphFont"/>
    <w:link w:val="BodyText"/>
    <w:uiPriority w:val="1"/>
    <w:semiHidden/>
    <w:rsid w:val="00CD03DC"/>
    <w:rPr>
      <w:rFonts w:ascii="Bookman Old Style" w:hAnsi="Bookman Old Style" w:cs="Times New Roman"/>
      <w:color w:val="000000"/>
    </w:rPr>
  </w:style>
  <w:style w:type="character" w:styleId="Strong">
    <w:name w:val="Strong"/>
    <w:basedOn w:val="DefaultParagraphFont"/>
    <w:uiPriority w:val="22"/>
    <w:qFormat/>
    <w:rsid w:val="00CD03DC"/>
    <w:rPr>
      <w:rFonts w:cs="Times New Roman"/>
      <w:b/>
      <w:bCs/>
    </w:rPr>
  </w:style>
  <w:style w:type="character" w:styleId="Emphasis">
    <w:name w:val="Emphasis"/>
    <w:basedOn w:val="DefaultParagraphFont"/>
    <w:uiPriority w:val="20"/>
    <w:qFormat/>
    <w:rsid w:val="00CD03DC"/>
    <w:rPr>
      <w:i/>
      <w:iCs/>
    </w:rPr>
  </w:style>
  <w:style w:type="character" w:customStyle="1" w:styleId="NoSpacingChar">
    <w:name w:val="No Spacing Char"/>
    <w:basedOn w:val="DefaultParagraphFont"/>
    <w:link w:val="NoSpacing"/>
    <w:uiPriority w:val="1"/>
    <w:locked/>
    <w:rsid w:val="00CD03DC"/>
    <w:rPr>
      <w:rFonts w:ascii="Bookman Old Style" w:hAnsi="Bookman Old Style"/>
      <w:color w:val="000000"/>
    </w:rPr>
  </w:style>
  <w:style w:type="paragraph" w:styleId="TOCHeading">
    <w:name w:val="TOC Heading"/>
    <w:basedOn w:val="Heading1"/>
    <w:next w:val="Normal"/>
    <w:uiPriority w:val="39"/>
    <w:semiHidden/>
    <w:unhideWhenUsed/>
    <w:qFormat/>
    <w:rsid w:val="00CD03DC"/>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24">
      <w:bodyDiv w:val="1"/>
      <w:marLeft w:val="0"/>
      <w:marRight w:val="0"/>
      <w:marTop w:val="0"/>
      <w:marBottom w:val="0"/>
      <w:divBdr>
        <w:top w:val="none" w:sz="0" w:space="0" w:color="auto"/>
        <w:left w:val="none" w:sz="0" w:space="0" w:color="auto"/>
        <w:bottom w:val="none" w:sz="0" w:space="0" w:color="auto"/>
        <w:right w:val="none" w:sz="0" w:space="0" w:color="auto"/>
      </w:divBdr>
    </w:div>
    <w:div w:id="109322280">
      <w:bodyDiv w:val="1"/>
      <w:marLeft w:val="0"/>
      <w:marRight w:val="0"/>
      <w:marTop w:val="0"/>
      <w:marBottom w:val="0"/>
      <w:divBdr>
        <w:top w:val="none" w:sz="0" w:space="0" w:color="auto"/>
        <w:left w:val="none" w:sz="0" w:space="0" w:color="auto"/>
        <w:bottom w:val="none" w:sz="0" w:space="0" w:color="auto"/>
        <w:right w:val="none" w:sz="0" w:space="0" w:color="auto"/>
      </w:divBdr>
    </w:div>
    <w:div w:id="171770240">
      <w:bodyDiv w:val="1"/>
      <w:marLeft w:val="0"/>
      <w:marRight w:val="0"/>
      <w:marTop w:val="0"/>
      <w:marBottom w:val="0"/>
      <w:divBdr>
        <w:top w:val="none" w:sz="0" w:space="0" w:color="auto"/>
        <w:left w:val="none" w:sz="0" w:space="0" w:color="auto"/>
        <w:bottom w:val="none" w:sz="0" w:space="0" w:color="auto"/>
        <w:right w:val="none" w:sz="0" w:space="0" w:color="auto"/>
      </w:divBdr>
    </w:div>
    <w:div w:id="396979380">
      <w:bodyDiv w:val="1"/>
      <w:marLeft w:val="0"/>
      <w:marRight w:val="0"/>
      <w:marTop w:val="0"/>
      <w:marBottom w:val="0"/>
      <w:divBdr>
        <w:top w:val="none" w:sz="0" w:space="0" w:color="auto"/>
        <w:left w:val="none" w:sz="0" w:space="0" w:color="auto"/>
        <w:bottom w:val="none" w:sz="0" w:space="0" w:color="auto"/>
        <w:right w:val="none" w:sz="0" w:space="0" w:color="auto"/>
      </w:divBdr>
    </w:div>
    <w:div w:id="410156897">
      <w:bodyDiv w:val="1"/>
      <w:marLeft w:val="0"/>
      <w:marRight w:val="0"/>
      <w:marTop w:val="0"/>
      <w:marBottom w:val="0"/>
      <w:divBdr>
        <w:top w:val="none" w:sz="0" w:space="0" w:color="auto"/>
        <w:left w:val="none" w:sz="0" w:space="0" w:color="auto"/>
        <w:bottom w:val="none" w:sz="0" w:space="0" w:color="auto"/>
        <w:right w:val="none" w:sz="0" w:space="0" w:color="auto"/>
      </w:divBdr>
    </w:div>
    <w:div w:id="498622727">
      <w:bodyDiv w:val="1"/>
      <w:marLeft w:val="0"/>
      <w:marRight w:val="0"/>
      <w:marTop w:val="0"/>
      <w:marBottom w:val="0"/>
      <w:divBdr>
        <w:top w:val="none" w:sz="0" w:space="0" w:color="auto"/>
        <w:left w:val="none" w:sz="0" w:space="0" w:color="auto"/>
        <w:bottom w:val="none" w:sz="0" w:space="0" w:color="auto"/>
        <w:right w:val="none" w:sz="0" w:space="0" w:color="auto"/>
      </w:divBdr>
    </w:div>
    <w:div w:id="827016385">
      <w:bodyDiv w:val="1"/>
      <w:marLeft w:val="0"/>
      <w:marRight w:val="0"/>
      <w:marTop w:val="0"/>
      <w:marBottom w:val="0"/>
      <w:divBdr>
        <w:top w:val="none" w:sz="0" w:space="0" w:color="auto"/>
        <w:left w:val="none" w:sz="0" w:space="0" w:color="auto"/>
        <w:bottom w:val="none" w:sz="0" w:space="0" w:color="auto"/>
        <w:right w:val="none" w:sz="0" w:space="0" w:color="auto"/>
      </w:divBdr>
    </w:div>
    <w:div w:id="834994457">
      <w:bodyDiv w:val="1"/>
      <w:marLeft w:val="0"/>
      <w:marRight w:val="0"/>
      <w:marTop w:val="0"/>
      <w:marBottom w:val="0"/>
      <w:divBdr>
        <w:top w:val="none" w:sz="0" w:space="0" w:color="auto"/>
        <w:left w:val="none" w:sz="0" w:space="0" w:color="auto"/>
        <w:bottom w:val="none" w:sz="0" w:space="0" w:color="auto"/>
        <w:right w:val="none" w:sz="0" w:space="0" w:color="auto"/>
      </w:divBdr>
    </w:div>
    <w:div w:id="1032606269">
      <w:bodyDiv w:val="1"/>
      <w:marLeft w:val="0"/>
      <w:marRight w:val="0"/>
      <w:marTop w:val="0"/>
      <w:marBottom w:val="0"/>
      <w:divBdr>
        <w:top w:val="none" w:sz="0" w:space="0" w:color="auto"/>
        <w:left w:val="none" w:sz="0" w:space="0" w:color="auto"/>
        <w:bottom w:val="none" w:sz="0" w:space="0" w:color="auto"/>
        <w:right w:val="none" w:sz="0" w:space="0" w:color="auto"/>
      </w:divBdr>
    </w:div>
    <w:div w:id="1267421437">
      <w:bodyDiv w:val="1"/>
      <w:marLeft w:val="0"/>
      <w:marRight w:val="0"/>
      <w:marTop w:val="0"/>
      <w:marBottom w:val="0"/>
      <w:divBdr>
        <w:top w:val="none" w:sz="0" w:space="0" w:color="auto"/>
        <w:left w:val="none" w:sz="0" w:space="0" w:color="auto"/>
        <w:bottom w:val="none" w:sz="0" w:space="0" w:color="auto"/>
        <w:right w:val="none" w:sz="0" w:space="0" w:color="auto"/>
      </w:divBdr>
    </w:div>
    <w:div w:id="1578516151">
      <w:bodyDiv w:val="1"/>
      <w:marLeft w:val="0"/>
      <w:marRight w:val="0"/>
      <w:marTop w:val="0"/>
      <w:marBottom w:val="0"/>
      <w:divBdr>
        <w:top w:val="none" w:sz="0" w:space="0" w:color="auto"/>
        <w:left w:val="none" w:sz="0" w:space="0" w:color="auto"/>
        <w:bottom w:val="none" w:sz="0" w:space="0" w:color="auto"/>
        <w:right w:val="none" w:sz="0" w:space="0" w:color="auto"/>
      </w:divBdr>
    </w:div>
    <w:div w:id="16586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Casanova-Ward, Amy</dc:creator>
  <cp:keywords/>
  <dc:description/>
  <cp:lastModifiedBy>Ray, Susan D</cp:lastModifiedBy>
  <cp:revision>4</cp:revision>
  <dcterms:created xsi:type="dcterms:W3CDTF">2026-03-24T12:24:00Z</dcterms:created>
  <dcterms:modified xsi:type="dcterms:W3CDTF">2026-03-25T18:37:00Z</dcterms:modified>
</cp:coreProperties>
</file>