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A717" w14:textId="739E2950" w:rsidR="00F4734B" w:rsidRPr="00F4734B" w:rsidRDefault="00F4734B" w:rsidP="00F4734B">
      <w:pPr>
        <w:pStyle w:val="Heading3"/>
      </w:pPr>
      <w:r w:rsidRPr="00F4734B">
        <w:t>16.8 USE OF A CHILD IN A SEXUAL PERFORMANCE WITH CONSENT OF PARENT, LEGAL GUARDIAN, OR CUSTODIAN</w:t>
      </w:r>
    </w:p>
    <w:p w14:paraId="72C30D5F" w14:textId="0B4A397F" w:rsidR="00F4734B" w:rsidRPr="00287E2A" w:rsidRDefault="00F4734B" w:rsidP="00F4734B">
      <w:pPr>
        <w:pStyle w:val="SJIStatuteinTitle"/>
        <w:rPr>
          <w:rFonts w:eastAsiaTheme="majorEastAsia" w:cs="Segoe UI"/>
          <w:sz w:val="22"/>
          <w:szCs w:val="22"/>
        </w:rPr>
      </w:pPr>
      <w:r w:rsidRPr="00287E2A">
        <w:rPr>
          <w:rFonts w:eastAsiaTheme="majorEastAsia" w:cs="Segoe UI"/>
          <w:sz w:val="22"/>
          <w:szCs w:val="22"/>
        </w:rPr>
        <w:t>§ 827.071(2), Fla. Stat.*</w:t>
      </w:r>
    </w:p>
    <w:p w14:paraId="4B23DCB7" w14:textId="23F5591C" w:rsidR="00F4734B" w:rsidRPr="00287E2A" w:rsidRDefault="00F4734B" w:rsidP="00F4734B">
      <w:pPr>
        <w:rPr>
          <w:rFonts w:eastAsiaTheme="majorEastAsia" w:cs="Segoe UI"/>
        </w:rPr>
      </w:pPr>
      <w:r w:rsidRPr="00287E2A">
        <w:rPr>
          <w:rFonts w:eastAsiaTheme="majorEastAsia" w:cs="Segoe UI"/>
          <w:b/>
          <w:bCs/>
        </w:rPr>
        <w:t>To prove the crime of Use of a Child in a Sexual Performance, the State must prove the following four elements beyond a reasonable doubt:</w:t>
      </w:r>
    </w:p>
    <w:p w14:paraId="0DC0FBD6" w14:textId="4324BE1D" w:rsidR="00F4734B" w:rsidRPr="00F4734B" w:rsidRDefault="00F4734B" w:rsidP="00F4734B">
      <w:pPr>
        <w:pStyle w:val="ListParagraph"/>
        <w:numPr>
          <w:ilvl w:val="0"/>
          <w:numId w:val="9"/>
        </w:numPr>
        <w:ind w:left="1152" w:hanging="432"/>
        <w:rPr>
          <w:rFonts w:eastAsiaTheme="majorEastAsia" w:cs="Segoe UI"/>
        </w:rPr>
      </w:pPr>
      <w:r w:rsidRPr="00F4734B">
        <w:rPr>
          <w:rFonts w:eastAsiaTheme="majorEastAsia" w:cs="Segoe UI"/>
        </w:rPr>
        <w:t>(Defendant)</w:t>
      </w:r>
      <w:r w:rsidRPr="00F4734B">
        <w:rPr>
          <w:rFonts w:eastAsiaTheme="majorEastAsia" w:cs="Segoe UI"/>
          <w:b/>
          <w:bCs/>
        </w:rPr>
        <w:t xml:space="preserve"> consented to the participation of </w:t>
      </w:r>
      <w:r w:rsidRPr="00F4734B">
        <w:rPr>
          <w:rFonts w:eastAsiaTheme="majorEastAsia" w:cs="Segoe UI"/>
        </w:rPr>
        <w:t>(victim)</w:t>
      </w:r>
      <w:r w:rsidRPr="00F4734B">
        <w:rPr>
          <w:rFonts w:eastAsiaTheme="majorEastAsia" w:cs="Segoe UI"/>
          <w:b/>
          <w:bCs/>
        </w:rPr>
        <w:t xml:space="preserve"> in a sexual performance.</w:t>
      </w:r>
    </w:p>
    <w:p w14:paraId="2DB51420" w14:textId="2F614F1C" w:rsidR="00F4734B" w:rsidRPr="00F4734B" w:rsidRDefault="00F4734B" w:rsidP="00F4734B">
      <w:pPr>
        <w:pStyle w:val="ListParagraph"/>
        <w:numPr>
          <w:ilvl w:val="0"/>
          <w:numId w:val="9"/>
        </w:numPr>
        <w:ind w:left="1152" w:hanging="432"/>
        <w:rPr>
          <w:rFonts w:eastAsiaTheme="majorEastAsia" w:cs="Segoe UI"/>
        </w:rPr>
      </w:pPr>
      <w:r w:rsidRPr="00F4734B">
        <w:rPr>
          <w:rFonts w:eastAsiaTheme="majorEastAsia" w:cs="Segoe UI"/>
        </w:rPr>
        <w:t>(Defendant)</w:t>
      </w:r>
      <w:r w:rsidRPr="00F4734B">
        <w:rPr>
          <w:rFonts w:eastAsiaTheme="majorEastAsia" w:cs="Segoe UI"/>
          <w:b/>
          <w:bCs/>
        </w:rPr>
        <w:t xml:space="preserve"> knew the character and content of the performance.</w:t>
      </w:r>
    </w:p>
    <w:p w14:paraId="4C9C2F76" w14:textId="1ED5A4ED" w:rsidR="00F4734B" w:rsidRPr="00F4734B" w:rsidRDefault="00F4734B" w:rsidP="00F4734B">
      <w:pPr>
        <w:pStyle w:val="ListParagraph"/>
        <w:numPr>
          <w:ilvl w:val="0"/>
          <w:numId w:val="9"/>
        </w:numPr>
        <w:ind w:left="1152" w:hanging="432"/>
        <w:rPr>
          <w:rFonts w:eastAsiaTheme="majorEastAsia" w:cs="Segoe UI"/>
        </w:rPr>
      </w:pPr>
      <w:r w:rsidRPr="00F4734B">
        <w:rPr>
          <w:rFonts w:eastAsiaTheme="majorEastAsia" w:cs="Segoe UI"/>
          <w:b/>
          <w:bCs/>
        </w:rPr>
        <w:t xml:space="preserve">At the time, </w:t>
      </w:r>
      <w:r w:rsidRPr="00F4734B">
        <w:rPr>
          <w:rFonts w:eastAsiaTheme="majorEastAsia" w:cs="Segoe UI"/>
        </w:rPr>
        <w:t xml:space="preserve">(victim) </w:t>
      </w:r>
      <w:r w:rsidRPr="00F4734B">
        <w:rPr>
          <w:rFonts w:eastAsiaTheme="majorEastAsia" w:cs="Segoe UI"/>
          <w:b/>
          <w:bCs/>
        </w:rPr>
        <w:t>was a child.</w:t>
      </w:r>
    </w:p>
    <w:p w14:paraId="1286C070" w14:textId="0524D086" w:rsidR="00F4734B" w:rsidRPr="00F4734B" w:rsidRDefault="00F4734B" w:rsidP="00F4734B">
      <w:pPr>
        <w:pStyle w:val="ListParagraph"/>
        <w:numPr>
          <w:ilvl w:val="0"/>
          <w:numId w:val="9"/>
        </w:numPr>
        <w:ind w:left="1152" w:hanging="432"/>
        <w:rPr>
          <w:rFonts w:ascii="Segoe UI" w:hAnsi="Segoe UI"/>
        </w:rPr>
      </w:pPr>
      <w:r w:rsidRPr="00F4734B">
        <w:rPr>
          <w:rFonts w:eastAsiaTheme="majorEastAsia" w:cs="Segoe UI"/>
        </w:rPr>
        <w:t xml:space="preserve">(Defendant) </w:t>
      </w:r>
      <w:r w:rsidRPr="00F4734B">
        <w:rPr>
          <w:rFonts w:eastAsiaTheme="majorEastAsia" w:cs="Segoe UI"/>
          <w:b/>
          <w:bCs/>
        </w:rPr>
        <w:t xml:space="preserve">was the [parent] [legal guardian] [custodian] of </w:t>
      </w:r>
      <w:r w:rsidRPr="00F4734B">
        <w:rPr>
          <w:rFonts w:eastAsiaTheme="majorEastAsia" w:cs="Segoe UI"/>
        </w:rPr>
        <w:t>(victim)</w:t>
      </w:r>
      <w:r w:rsidRPr="00F4734B">
        <w:rPr>
          <w:rFonts w:eastAsiaTheme="majorEastAsia" w:cs="Segoe UI"/>
          <w:b/>
          <w:bCs/>
        </w:rPr>
        <w:t>.</w:t>
      </w:r>
    </w:p>
    <w:p w14:paraId="1F924858" w14:textId="70604F89" w:rsidR="00F4734B" w:rsidRPr="00287E2A" w:rsidRDefault="00F4734B" w:rsidP="00F4734B">
      <w:pPr>
        <w:rPr>
          <w:rFonts w:ascii="Segoe UI" w:hAnsi="Segoe UI"/>
        </w:rPr>
      </w:pPr>
      <w:r w:rsidRPr="00287E2A">
        <w:rPr>
          <w:rFonts w:eastAsiaTheme="majorEastAsia" w:cs="Segoe UI"/>
          <w:b/>
          <w:bCs/>
        </w:rPr>
        <w:t>“Sexual performance” means any performance or part thereof which includes sexual conduct by a child. [A mother’s breastfeeding of her baby does not under any circumstance constitute “sexual conduct.”]</w:t>
      </w:r>
    </w:p>
    <w:p w14:paraId="4BC12B84" w14:textId="39D83714" w:rsidR="00F4734B" w:rsidRPr="00287E2A" w:rsidRDefault="00F4734B" w:rsidP="00F4734B">
      <w:pPr>
        <w:rPr>
          <w:rFonts w:ascii="Segoe UI" w:hAnsi="Segoe UI"/>
        </w:rPr>
      </w:pPr>
      <w:r w:rsidRPr="00287E2A">
        <w:rPr>
          <w:rFonts w:eastAsiaTheme="majorEastAsia" w:cs="Segoe UI"/>
          <w:b/>
          <w:bCs/>
        </w:rPr>
        <w:t>“Performance” means any play, motion picture, photograph, or dance or any other visual representation exhibited before an audience.</w:t>
      </w:r>
    </w:p>
    <w:p w14:paraId="7D355C4F" w14:textId="36C5BAEE" w:rsidR="00F4734B" w:rsidRPr="00287E2A" w:rsidRDefault="00F4734B" w:rsidP="00F4734B">
      <w:pPr>
        <w:rPr>
          <w:rFonts w:ascii="Segoe UI" w:hAnsi="Segoe UI"/>
        </w:rPr>
      </w:pPr>
      <w:r w:rsidRPr="00287E2A">
        <w:rPr>
          <w:rFonts w:eastAsiaTheme="majorEastAsia" w:cs="Segoe UI"/>
          <w:b/>
          <w:bCs/>
        </w:rPr>
        <w:t>“Sexual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w:t>
      </w:r>
    </w:p>
    <w:p w14:paraId="77D94B8C" w14:textId="5AA10CEF" w:rsidR="00F4734B" w:rsidRPr="00F4734B" w:rsidRDefault="00F4734B" w:rsidP="00F4734B">
      <w:pPr>
        <w:rPr>
          <w:rFonts w:cs="Calibri"/>
          <w:b/>
          <w:bCs/>
        </w:rPr>
      </w:pPr>
      <w:r w:rsidRPr="00F4734B">
        <w:rPr>
          <w:rFonts w:cs="Calibri"/>
          <w:b/>
          <w:bCs/>
        </w:rPr>
        <w:t xml:space="preserve">“Actual or simulated lewd exhibition of the genitals” may be evidenced by the overall contents of an image taking into account the age of the minor depicted and including, but not limited to whether, the focal point of the image is on the minor’s genitals, the setting of the image is sexually suggestive or in a place or pose generally associated with sexual conduct, the minor is depicted in an unnatural pose or in inappropriate attire considering the age of the minor, the image suggests sexual coyness or a willingness to engage in sexual conduct or the image is intended or designed to elicit a sexual response in the viewer. </w:t>
      </w:r>
    </w:p>
    <w:p w14:paraId="66341FC3" w14:textId="37D73400" w:rsidR="00F4734B" w:rsidRPr="00287E2A" w:rsidRDefault="00F4734B" w:rsidP="00F4734B">
      <w:pPr>
        <w:rPr>
          <w:rFonts w:ascii="Segoe UI" w:hAnsi="Segoe UI"/>
        </w:rPr>
      </w:pPr>
      <w:r w:rsidRPr="00287E2A">
        <w:rPr>
          <w:rFonts w:eastAsiaTheme="majorEastAsia" w:cs="Segoe UI"/>
          <w:b/>
          <w:bCs/>
        </w:rPr>
        <w:t>“Child” means any person, whose identity is known or unknown, younger than 18 years of age.</w:t>
      </w:r>
    </w:p>
    <w:p w14:paraId="168E1BFC" w14:textId="55F2A9C2" w:rsidR="00F4734B" w:rsidRPr="00287E2A" w:rsidRDefault="00F4734B" w:rsidP="00F4734B">
      <w:pPr>
        <w:pStyle w:val="SJITextItalic"/>
        <w:rPr>
          <w:rFonts w:ascii="Segoe UI" w:hAnsi="Segoe UI"/>
        </w:rPr>
      </w:pPr>
      <w:r w:rsidRPr="00287E2A">
        <w:rPr>
          <w:rFonts w:eastAsiaTheme="majorEastAsia" w:cs="Segoe UI"/>
          <w:szCs w:val="22"/>
        </w:rPr>
        <w:t>Give as applicable.</w:t>
      </w:r>
    </w:p>
    <w:p w14:paraId="64D44D37" w14:textId="11EBF99F" w:rsidR="00F4734B" w:rsidRPr="00287E2A" w:rsidRDefault="00F4734B" w:rsidP="00F4734B">
      <w:pPr>
        <w:rPr>
          <w:rFonts w:ascii="Segoe UI" w:hAnsi="Segoe UI"/>
        </w:rPr>
      </w:pPr>
      <w:r w:rsidRPr="00287E2A">
        <w:rPr>
          <w:rFonts w:eastAsiaTheme="majorEastAsia" w:cs="Segoe UI"/>
          <w:b/>
          <w:bCs/>
        </w:rPr>
        <w:t>“Deviate sexual intercourse” means sexual conduct between persons not married to each other consisting of contact between the penis and the anus, the mouth and the penis, or the mouth and the vulva.</w:t>
      </w:r>
    </w:p>
    <w:p w14:paraId="6F13AB16" w14:textId="0F49D204" w:rsidR="00F4734B" w:rsidRPr="00287E2A" w:rsidRDefault="00F4734B" w:rsidP="00F4734B">
      <w:pPr>
        <w:rPr>
          <w:rFonts w:ascii="Segoe UI" w:hAnsi="Segoe UI"/>
        </w:rPr>
      </w:pPr>
      <w:r w:rsidRPr="00287E2A">
        <w:rPr>
          <w:rFonts w:eastAsiaTheme="majorEastAsia" w:cs="Segoe UI"/>
          <w:b/>
          <w:bCs/>
        </w:rPr>
        <w:lastRenderedPageBreak/>
        <w:t>“Sadomasochistic abuse” means flagellation or torture by or upon a person, or the condition of being fettered, bound, or otherwise physically restrained, for the purpose of deriving sexual satisfaction from inflicting harm on another or receiving such harm oneself</w:t>
      </w:r>
      <w:r>
        <w:rPr>
          <w:rFonts w:eastAsiaTheme="majorEastAsia" w:cs="Segoe UI"/>
          <w:b/>
          <w:bCs/>
        </w:rPr>
        <w:t>.</w:t>
      </w:r>
    </w:p>
    <w:p w14:paraId="29DEA706" w14:textId="56A6E784" w:rsidR="00F4734B" w:rsidRPr="00287E2A" w:rsidRDefault="00F4734B" w:rsidP="00F4734B">
      <w:pPr>
        <w:rPr>
          <w:rFonts w:ascii="Segoe UI" w:hAnsi="Segoe UI"/>
        </w:rPr>
      </w:pPr>
      <w:r w:rsidRPr="00287E2A">
        <w:rPr>
          <w:rFonts w:eastAsiaTheme="majorEastAsia" w:cs="Segoe UI"/>
          <w:b/>
          <w:bCs/>
        </w:rPr>
        <w:t xml:space="preserve">“Sexual battery” means oral, anal, or female genital* penetration by, or union with, the sexual organ of another or the anal or female genital penetration of another by any other </w:t>
      </w:r>
      <w:proofErr w:type="gramStart"/>
      <w:r w:rsidRPr="00287E2A">
        <w:rPr>
          <w:rFonts w:eastAsiaTheme="majorEastAsia" w:cs="Segoe UI"/>
          <w:b/>
          <w:bCs/>
        </w:rPr>
        <w:t>object</w:t>
      </w:r>
      <w:r w:rsidRPr="005D22A5">
        <w:rPr>
          <w:rFonts w:eastAsiaTheme="majorEastAsia" w:cs="Segoe UI"/>
          <w:b/>
          <w:bCs/>
        </w:rPr>
        <w:t>[</w:t>
      </w:r>
      <w:proofErr w:type="gramEnd"/>
      <w:r w:rsidRPr="00287E2A">
        <w:rPr>
          <w:rFonts w:eastAsiaTheme="majorEastAsia" w:cs="Segoe UI"/>
          <w:b/>
          <w:bCs/>
        </w:rPr>
        <w:t xml:space="preserve">; however, “sexual battery” does not include an act done for a </w:t>
      </w:r>
      <w:r>
        <w:rPr>
          <w:rFonts w:eastAsiaTheme="majorEastAsia" w:cs="Segoe UI"/>
          <w:b/>
          <w:bCs/>
        </w:rPr>
        <w:t>genuine</w:t>
      </w:r>
      <w:r w:rsidRPr="00287E2A">
        <w:rPr>
          <w:rFonts w:eastAsiaTheme="majorEastAsia" w:cs="Segoe UI"/>
          <w:b/>
          <w:bCs/>
        </w:rPr>
        <w:t xml:space="preserve"> medical purpose</w:t>
      </w:r>
      <w:r w:rsidRPr="005D22A5">
        <w:rPr>
          <w:rFonts w:eastAsiaTheme="majorEastAsia" w:cs="Segoe UI"/>
          <w:b/>
          <w:bCs/>
        </w:rPr>
        <w:t>]</w:t>
      </w:r>
      <w:r w:rsidRPr="00287E2A">
        <w:rPr>
          <w:rFonts w:eastAsiaTheme="majorEastAsia" w:cs="Segoe UI"/>
          <w:b/>
          <w:bCs/>
        </w:rPr>
        <w:t>.</w:t>
      </w:r>
    </w:p>
    <w:p w14:paraId="3FD69E84" w14:textId="1DDA0783" w:rsidR="00F4734B" w:rsidRPr="00F4734B" w:rsidRDefault="00F4734B" w:rsidP="00F4734B">
      <w:pPr>
        <w:rPr>
          <w:rFonts w:ascii="Segoe UI" w:hAnsi="Segoe UI"/>
        </w:rPr>
      </w:pPr>
      <w:r w:rsidRPr="00287E2A">
        <w:rPr>
          <w:rFonts w:eastAsiaTheme="majorEastAsia" w:cs="Segoe UI"/>
          <w:b/>
          <w:bCs/>
        </w:rPr>
        <w:t>“Female genitals*” includes the labia minora, labia majora, clitoris, vulva, hymen, and vagina.</w:t>
      </w:r>
    </w:p>
    <w:p w14:paraId="278C0ACB" w14:textId="1E6649D8" w:rsidR="00F4734B" w:rsidRPr="00287E2A" w:rsidRDefault="00F4734B" w:rsidP="00F4734B">
      <w:pPr>
        <w:pStyle w:val="SJITextItalic"/>
        <w:rPr>
          <w:rFonts w:ascii="Segoe UI" w:hAnsi="Segoe UI"/>
        </w:rPr>
      </w:pPr>
      <w:r w:rsidRPr="00287E2A">
        <w:rPr>
          <w:rFonts w:eastAsiaTheme="majorEastAsia" w:cs="Segoe UI"/>
          <w:szCs w:val="22"/>
        </w:rPr>
        <w:t>Lakey v. State, 113 So. 3d 90 (Fla. 5th DCA 2013).</w:t>
      </w:r>
    </w:p>
    <w:p w14:paraId="4286C33F" w14:textId="30F7683A" w:rsidR="00F4734B" w:rsidRPr="00287E2A" w:rsidRDefault="00F4734B" w:rsidP="00F4734B">
      <w:pPr>
        <w:rPr>
          <w:rFonts w:ascii="Segoe UI" w:hAnsi="Segoe UI"/>
        </w:rPr>
      </w:pPr>
      <w:r w:rsidRPr="00287E2A">
        <w:rPr>
          <w:rFonts w:eastAsiaTheme="majorEastAsia" w:cs="Segoe UI"/>
          <w:b/>
          <w:bCs/>
        </w:rPr>
        <w:t>“An object” includes a finger.</w:t>
      </w:r>
    </w:p>
    <w:p w14:paraId="763D82AC" w14:textId="08F09E0C" w:rsidR="00F4734B" w:rsidRPr="00287E2A" w:rsidRDefault="00F4734B" w:rsidP="00F4734B">
      <w:pPr>
        <w:pStyle w:val="SJITextItalic"/>
        <w:rPr>
          <w:rFonts w:ascii="Segoe UI" w:hAnsi="Segoe UI"/>
        </w:rPr>
      </w:pPr>
      <w:r w:rsidRPr="00287E2A">
        <w:rPr>
          <w:rFonts w:eastAsiaTheme="majorEastAsia" w:cs="Segoe UI"/>
          <w:szCs w:val="22"/>
        </w:rPr>
        <w:t>Phillips v. State, 238 So. 3d 308 (Fla. 4th DCA 2018).</w:t>
      </w:r>
    </w:p>
    <w:p w14:paraId="30CAFF30" w14:textId="5EFE2318" w:rsidR="00F4734B" w:rsidRPr="00287E2A" w:rsidRDefault="00F4734B" w:rsidP="00F4734B">
      <w:pPr>
        <w:rPr>
          <w:rFonts w:ascii="Segoe UI" w:hAnsi="Segoe UI"/>
        </w:rPr>
      </w:pPr>
      <w:r w:rsidRPr="00287E2A">
        <w:rPr>
          <w:rFonts w:eastAsiaTheme="majorEastAsia" w:cs="Segoe UI"/>
          <w:b/>
          <w:bCs/>
        </w:rPr>
        <w:t>“Union” means contact.</w:t>
      </w:r>
    </w:p>
    <w:p w14:paraId="5A8CA11E" w14:textId="56953445" w:rsidR="00F4734B" w:rsidRPr="00287E2A" w:rsidRDefault="00F4734B" w:rsidP="00F4734B">
      <w:pPr>
        <w:rPr>
          <w:rFonts w:ascii="Segoe UI" w:hAnsi="Segoe UI"/>
        </w:rPr>
      </w:pPr>
      <w:r w:rsidRPr="00287E2A">
        <w:rPr>
          <w:rFonts w:eastAsiaTheme="majorEastAsia" w:cs="Segoe UI"/>
          <w:b/>
          <w:bCs/>
        </w:rPr>
        <w:t>“Sexual bestiality” means any sexual act between a person and an animal involving the sex organ of the one and the mouth, anus, or female genitals of the other.</w:t>
      </w:r>
    </w:p>
    <w:p w14:paraId="1017EAF4" w14:textId="35033221" w:rsidR="00F4734B" w:rsidRPr="00287E2A" w:rsidRDefault="00F4734B" w:rsidP="00F4734B">
      <w:pPr>
        <w:rPr>
          <w:rFonts w:ascii="Segoe UI" w:hAnsi="Segoe UI"/>
        </w:rPr>
      </w:pPr>
      <w:r w:rsidRPr="00287E2A">
        <w:rPr>
          <w:rFonts w:eastAsiaTheme="majorEastAsia" w:cs="Segoe UI"/>
          <w:b/>
          <w:bCs/>
        </w:rPr>
        <w:t xml:space="preserve">“Simulated” means the explicit depiction of “sexual conduct,” as defined above, which creates the appearance of such </w:t>
      </w:r>
      <w:proofErr w:type="gramStart"/>
      <w:r w:rsidRPr="00287E2A">
        <w:rPr>
          <w:rFonts w:eastAsiaTheme="majorEastAsia" w:cs="Segoe UI"/>
          <w:b/>
          <w:bCs/>
        </w:rPr>
        <w:t>conduct</w:t>
      </w:r>
      <w:proofErr w:type="gramEnd"/>
      <w:r w:rsidRPr="00287E2A">
        <w:rPr>
          <w:rFonts w:eastAsiaTheme="majorEastAsia" w:cs="Segoe UI"/>
          <w:b/>
          <w:bCs/>
        </w:rPr>
        <w:t xml:space="preserve"> and which exhibits any uncovered portion of the breasts, genitals, or buttocks.</w:t>
      </w:r>
    </w:p>
    <w:p w14:paraId="2D04F9A8" w14:textId="342D2DBE" w:rsidR="00F4734B" w:rsidRPr="00287E2A" w:rsidRDefault="00F4734B" w:rsidP="00F4734B">
      <w:pPr>
        <w:pStyle w:val="SJIComments"/>
        <w:rPr>
          <w:rFonts w:ascii="Segoe UI" w:hAnsi="Segoe UI"/>
        </w:rPr>
      </w:pPr>
      <w:r w:rsidRPr="00F4734B">
        <w:rPr>
          <w:rFonts w:eastAsiaTheme="majorEastAsia"/>
        </w:rPr>
        <w:t>Comments</w:t>
      </w:r>
    </w:p>
    <w:p w14:paraId="32EA7847" w14:textId="598BD182" w:rsidR="00F4734B" w:rsidRPr="00287E2A" w:rsidRDefault="00F4734B" w:rsidP="00F4734B">
      <w:pPr>
        <w:rPr>
          <w:rFonts w:ascii="Segoe UI" w:hAnsi="Segoe UI"/>
        </w:rPr>
      </w:pPr>
      <w:r w:rsidRPr="00287E2A">
        <w:rPr>
          <w:rFonts w:eastAsiaTheme="majorEastAsia" w:cs="Segoe UI"/>
        </w:rPr>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287E2A">
        <w:rPr>
          <w:rFonts w:eastAsiaTheme="majorEastAsia" w:cs="Segoe UI"/>
          <w:i/>
          <w:iCs/>
        </w:rPr>
        <w:t xml:space="preserve">Flores v. State, </w:t>
      </w:r>
      <w:r w:rsidRPr="00287E2A">
        <w:rPr>
          <w:rFonts w:eastAsiaTheme="majorEastAsia" w:cs="Segoe UI"/>
        </w:rPr>
        <w:t>391 So. 3d 481 (Fla. 4th DCA 2024) is an example of an appellate court finding fundamental error when the trial judge expanded the definition of “vaginal penetration” by instructing on “female genital penetration.”</w:t>
      </w:r>
    </w:p>
    <w:p w14:paraId="0849D35D" w14:textId="3E0103FD" w:rsidR="00F4734B" w:rsidRPr="00287E2A" w:rsidRDefault="00F4734B" w:rsidP="00F4734B">
      <w:pPr>
        <w:rPr>
          <w:rFonts w:ascii="Segoe UI" w:hAnsi="Segoe UI"/>
        </w:rPr>
      </w:pPr>
      <w:r w:rsidRPr="00287E2A">
        <w:rPr>
          <w:rFonts w:eastAsiaTheme="majorEastAsia" w:cs="Segoe UI"/>
        </w:rPr>
        <w:t xml:space="preserve">As of </w:t>
      </w:r>
      <w:r>
        <w:rPr>
          <w:rFonts w:eastAsiaTheme="majorEastAsia" w:cs="Segoe UI"/>
        </w:rPr>
        <w:t>February 2026</w:t>
      </w:r>
      <w:r w:rsidRPr="00287E2A">
        <w:rPr>
          <w:rFonts w:eastAsiaTheme="majorEastAsia" w:cs="Segoe UI"/>
        </w:rPr>
        <w:t>, it was unclear whether acts done for bona fide medical purposes or a mother’s breastfeeding of her baby should be treated as affirmative defenses or elements that the State must disprove. If treated as an affirmative defense, the judge must then determine who has the burden of persuasion and what that burden is (preponderance, clear and convincing, or beyond a reasonable doubt).</w:t>
      </w:r>
    </w:p>
    <w:p w14:paraId="790F5D46" w14:textId="0E71708C" w:rsidR="009435D1" w:rsidRPr="00F4734B" w:rsidRDefault="00F4734B" w:rsidP="00F4734B">
      <w:r w:rsidRPr="00287E2A">
        <w:rPr>
          <w:rFonts w:eastAsiaTheme="majorEastAsia" w:cs="Segoe UI"/>
        </w:rPr>
        <w:t xml:space="preserve">This instruction was adopted in 2008 [995 So. 2d 489] and amended on December 21, </w:t>
      </w:r>
      <w:r w:rsidRPr="00FE1A9D">
        <w:rPr>
          <w:rFonts w:eastAsiaTheme="majorEastAsia" w:cs="Segoe UI"/>
        </w:rPr>
        <w:t>2022, and on March 20, 2026.</w:t>
      </w:r>
    </w:p>
    <w:sectPr w:rsidR="009435D1" w:rsidRPr="00F4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F636204"/>
    <w:multiLevelType w:val="hybridMultilevel"/>
    <w:tmpl w:val="74C2D096"/>
    <w:lvl w:ilvl="0" w:tplc="99C6E1B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7221239D"/>
    <w:multiLevelType w:val="hybridMultilevel"/>
    <w:tmpl w:val="55028184"/>
    <w:lvl w:ilvl="0" w:tplc="32FA052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5650418"/>
    <w:multiLevelType w:val="hybridMultilevel"/>
    <w:tmpl w:val="8AC08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3223A9"/>
    <w:multiLevelType w:val="hybridMultilevel"/>
    <w:tmpl w:val="E48C7144"/>
    <w:lvl w:ilvl="0" w:tplc="CBFC1AF8">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A40575"/>
    <w:multiLevelType w:val="hybridMultilevel"/>
    <w:tmpl w:val="92A2F3B8"/>
    <w:lvl w:ilvl="0" w:tplc="A586B28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0555358">
    <w:abstractNumId w:val="2"/>
  </w:num>
  <w:num w:numId="2" w16cid:durableId="520708106">
    <w:abstractNumId w:val="3"/>
  </w:num>
  <w:num w:numId="3" w16cid:durableId="865409230">
    <w:abstractNumId w:val="0"/>
  </w:num>
  <w:num w:numId="4" w16cid:durableId="1452939189">
    <w:abstractNumId w:val="0"/>
  </w:num>
  <w:num w:numId="5" w16cid:durableId="101650119">
    <w:abstractNumId w:val="4"/>
  </w:num>
  <w:num w:numId="6" w16cid:durableId="1811172966">
    <w:abstractNumId w:val="6"/>
  </w:num>
  <w:num w:numId="7" w16cid:durableId="1799105177">
    <w:abstractNumId w:val="5"/>
  </w:num>
  <w:num w:numId="8" w16cid:durableId="868182732">
    <w:abstractNumId w:val="7"/>
  </w:num>
  <w:num w:numId="9" w16cid:durableId="91713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76773"/>
    <w:rsid w:val="0019651F"/>
    <w:rsid w:val="00217727"/>
    <w:rsid w:val="00262444"/>
    <w:rsid w:val="00276059"/>
    <w:rsid w:val="00286C94"/>
    <w:rsid w:val="002E1B0E"/>
    <w:rsid w:val="003C2B3B"/>
    <w:rsid w:val="003E05DE"/>
    <w:rsid w:val="004A4C40"/>
    <w:rsid w:val="004C3A36"/>
    <w:rsid w:val="00514DAB"/>
    <w:rsid w:val="00526223"/>
    <w:rsid w:val="005307A1"/>
    <w:rsid w:val="005D22A5"/>
    <w:rsid w:val="005E099F"/>
    <w:rsid w:val="00671E14"/>
    <w:rsid w:val="007556DA"/>
    <w:rsid w:val="007D1EBA"/>
    <w:rsid w:val="009435D1"/>
    <w:rsid w:val="00B20FFD"/>
    <w:rsid w:val="00B731D3"/>
    <w:rsid w:val="00C25548"/>
    <w:rsid w:val="00C358B8"/>
    <w:rsid w:val="00CB3978"/>
    <w:rsid w:val="00CB7717"/>
    <w:rsid w:val="00CC4D24"/>
    <w:rsid w:val="00CD52F8"/>
    <w:rsid w:val="00E40FE9"/>
    <w:rsid w:val="00E52076"/>
    <w:rsid w:val="00E53354"/>
    <w:rsid w:val="00E64D68"/>
    <w:rsid w:val="00E66A64"/>
    <w:rsid w:val="00EF65D3"/>
    <w:rsid w:val="00F16FA0"/>
    <w:rsid w:val="00F4734B"/>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A4AD"/>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E64D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533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Light" w:hAnsi="@Yu Gothic Light" w:cs="Times New Roman"/>
        <w:b/>
        <w:sz w:val="22"/>
      </w:rPr>
    </w:tblStylePr>
  </w:style>
  <w:style w:type="paragraph" w:customStyle="1" w:styleId="paragraph">
    <w:name w:val="paragraph"/>
    <w:basedOn w:val="Normal"/>
    <w:rsid w:val="00F4734B"/>
    <w:pPr>
      <w:spacing w:before="100" w:beforeAutospacing="1" w:after="100" w:afterAutospacing="1" w:line="240" w:lineRule="auto"/>
      <w:ind w:firstLine="0"/>
    </w:pPr>
    <w:rPr>
      <w:rFonts w:ascii="Times New Roman" w:hAnsi="Times New Roman" w:cs="Times New Roman"/>
      <w:sz w:val="24"/>
      <w:szCs w:val="24"/>
    </w:rPr>
  </w:style>
  <w:style w:type="character" w:customStyle="1" w:styleId="tabchar">
    <w:name w:val="tabchar"/>
    <w:basedOn w:val="DefaultParagraphFont"/>
    <w:rsid w:val="00F4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1879510528">
      <w:bodyDiv w:val="1"/>
      <w:marLeft w:val="0"/>
      <w:marRight w:val="0"/>
      <w:marTop w:val="0"/>
      <w:marBottom w:val="0"/>
      <w:divBdr>
        <w:top w:val="none" w:sz="0" w:space="0" w:color="auto"/>
        <w:left w:val="none" w:sz="0" w:space="0" w:color="auto"/>
        <w:bottom w:val="none" w:sz="0" w:space="0" w:color="auto"/>
        <w:right w:val="none" w:sz="0" w:space="0" w:color="auto"/>
      </w:divBdr>
      <w:divsChild>
        <w:div w:id="1416364717">
          <w:marLeft w:val="0"/>
          <w:marRight w:val="0"/>
          <w:marTop w:val="0"/>
          <w:marBottom w:val="0"/>
          <w:divBdr>
            <w:top w:val="none" w:sz="0" w:space="0" w:color="auto"/>
            <w:left w:val="none" w:sz="0" w:space="0" w:color="auto"/>
            <w:bottom w:val="none" w:sz="0" w:space="0" w:color="auto"/>
            <w:right w:val="none" w:sz="0" w:space="0" w:color="auto"/>
          </w:divBdr>
        </w:div>
        <w:div w:id="103901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3765</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2026-03-25T18:23:00Z</dcterms:created>
  <dcterms:modified xsi:type="dcterms:W3CDTF">2026-03-26T16:33:00Z</dcterms:modified>
</cp:coreProperties>
</file>