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6558E" w14:textId="2E1F53DE" w:rsidR="00E53354" w:rsidRPr="00D06346" w:rsidRDefault="00E53354" w:rsidP="00E53354">
      <w:pPr>
        <w:pStyle w:val="Heading3"/>
      </w:pPr>
      <w:bookmarkStart w:id="0" w:name="_Hlk225338935"/>
      <w:r w:rsidRPr="00D06346">
        <w:t>11.23(</w:t>
      </w:r>
      <w:r w:rsidRPr="00D06346">
        <w:rPr>
          <w:caps w:val="0"/>
        </w:rPr>
        <w:t>b</w:t>
      </w:r>
      <w:r w:rsidRPr="00D06346">
        <w:t xml:space="preserve">) GENERATION OF AN ALTERED SEXUAL DEPICTION  </w:t>
      </w:r>
    </w:p>
    <w:p w14:paraId="2C0D0A25" w14:textId="77777777" w:rsidR="00E53354" w:rsidRPr="00D8538E" w:rsidRDefault="00E53354" w:rsidP="00E53354">
      <w:pPr>
        <w:pStyle w:val="SJIStatuteinTitle"/>
      </w:pPr>
      <w:r w:rsidRPr="00D8538E">
        <w:t xml:space="preserve">§ 836.13(2), Fla. Stat. </w:t>
      </w:r>
    </w:p>
    <w:p w14:paraId="0B4AF3F4" w14:textId="77777777" w:rsidR="00E53354" w:rsidRPr="00E53354" w:rsidRDefault="00E53354" w:rsidP="00E53354">
      <w:pPr>
        <w:rPr>
          <w:b/>
          <w:bCs/>
        </w:rPr>
      </w:pPr>
      <w:r w:rsidRPr="00E53354">
        <w:rPr>
          <w:b/>
          <w:bCs/>
        </w:rPr>
        <w:t xml:space="preserve">To prove the crime of Generation of an Altered Sexual Depiction, the State must prove the following two elements beyond a reasonable doubt:  </w:t>
      </w:r>
    </w:p>
    <w:p w14:paraId="557D8831" w14:textId="77777777" w:rsidR="00E53354" w:rsidRPr="00D8538E" w:rsidRDefault="00E53354" w:rsidP="00E53354">
      <w:pPr>
        <w:numPr>
          <w:ilvl w:val="0"/>
          <w:numId w:val="5"/>
        </w:numPr>
        <w:ind w:left="1296" w:hanging="576"/>
        <w:rPr>
          <w:rFonts w:cs="Calibri"/>
          <w:b/>
          <w:bCs/>
        </w:rPr>
      </w:pPr>
      <w:r w:rsidRPr="00D8538E">
        <w:rPr>
          <w:rFonts w:cs="Calibri"/>
        </w:rPr>
        <w:t>(Defendant)</w:t>
      </w:r>
      <w:r w:rsidRPr="00D8538E">
        <w:rPr>
          <w:rFonts w:cs="Calibri"/>
          <w:b/>
          <w:bCs/>
        </w:rPr>
        <w:t xml:space="preserve"> willfully generated an altered sexual depiction of an identifiable person.  </w:t>
      </w:r>
    </w:p>
    <w:p w14:paraId="4BDEB49D" w14:textId="77777777" w:rsidR="00E53354" w:rsidRPr="00D8538E" w:rsidRDefault="00E53354" w:rsidP="00E53354">
      <w:pPr>
        <w:numPr>
          <w:ilvl w:val="0"/>
          <w:numId w:val="5"/>
        </w:numPr>
        <w:ind w:left="1296" w:hanging="576"/>
        <w:rPr>
          <w:rFonts w:cs="Calibri"/>
          <w:b/>
          <w:bCs/>
        </w:rPr>
      </w:pPr>
      <w:r w:rsidRPr="00D8538E">
        <w:rPr>
          <w:rFonts w:cs="Calibri"/>
        </w:rPr>
        <w:t>(Defendant)</w:t>
      </w:r>
      <w:r w:rsidRPr="00D8538E">
        <w:rPr>
          <w:rFonts w:cs="Calibri"/>
          <w:b/>
          <w:bCs/>
        </w:rPr>
        <w:t xml:space="preserve"> did so without the consent of the identifiable person(s) depicted.  </w:t>
      </w:r>
    </w:p>
    <w:p w14:paraId="39C3CBB1" w14:textId="77777777" w:rsidR="00E53354" w:rsidRPr="00D8538E" w:rsidRDefault="00E53354" w:rsidP="00E53354">
      <w:pPr>
        <w:rPr>
          <w:rFonts w:cs="Calibri"/>
          <w:b/>
          <w:bCs/>
        </w:rPr>
      </w:pPr>
      <w:r w:rsidRPr="00D8538E">
        <w:rPr>
          <w:rFonts w:cs="Calibri"/>
          <w:b/>
          <w:bCs/>
        </w:rPr>
        <w:t>“Willfully” means knowingly, intentionally, and purposely.</w:t>
      </w:r>
    </w:p>
    <w:p w14:paraId="276A2B48" w14:textId="77777777" w:rsidR="00E53354" w:rsidRPr="00D8538E" w:rsidRDefault="00E53354" w:rsidP="00E53354">
      <w:pPr>
        <w:rPr>
          <w:rFonts w:cs="Calibri"/>
          <w:b/>
          <w:bCs/>
        </w:rPr>
      </w:pPr>
      <w:r w:rsidRPr="00D8538E">
        <w:rPr>
          <w:rFonts w:cs="Calibri"/>
          <w:b/>
          <w:bCs/>
        </w:rPr>
        <w:t xml:space="preserve">“Generate” means to create, alter, adapt, or modify any image by electronic, mechanical, or other </w:t>
      </w:r>
      <w:proofErr w:type="gramStart"/>
      <w:r w:rsidRPr="00D8538E">
        <w:rPr>
          <w:rFonts w:cs="Calibri"/>
          <w:b/>
          <w:bCs/>
        </w:rPr>
        <w:t>computer generated</w:t>
      </w:r>
      <w:proofErr w:type="gramEnd"/>
      <w:r w:rsidRPr="00D8538E">
        <w:rPr>
          <w:rFonts w:cs="Calibri"/>
          <w:b/>
          <w:bCs/>
        </w:rPr>
        <w:t xml:space="preserve"> means to portray an identifiable person or to offer or agree to do the same. </w:t>
      </w:r>
    </w:p>
    <w:p w14:paraId="2F0B24CD" w14:textId="77777777" w:rsidR="00E53354" w:rsidRPr="00D8538E" w:rsidRDefault="00E53354" w:rsidP="00E53354">
      <w:pPr>
        <w:rPr>
          <w:rFonts w:cs="Calibri"/>
          <w:b/>
          <w:bCs/>
        </w:rPr>
      </w:pPr>
      <w:r w:rsidRPr="00D8538E">
        <w:rPr>
          <w:rFonts w:cs="Calibri"/>
          <w:b/>
          <w:bCs/>
        </w:rPr>
        <w:t>“Altered Sexual Depiction” means any visual depiction that as a result of any type of digital, electronic, mechanical, or other modification, alteration, or adaptation, depicts a realistic version of an identifiable person: (1) with the nude body parts of another person as the nude body parts of the identifiable person; (2) with computer-generated nude body parts as the nude body parts of the identifiable person; or (3) engaging in sexual conduct in which the identifiable person did not engage.</w:t>
      </w:r>
    </w:p>
    <w:p w14:paraId="598F966D" w14:textId="77777777" w:rsidR="00E53354" w:rsidRPr="00D8538E" w:rsidRDefault="00E53354" w:rsidP="00E53354">
      <w:pPr>
        <w:rPr>
          <w:rFonts w:cs="Calibri"/>
          <w:b/>
          <w:bCs/>
        </w:rPr>
      </w:pPr>
      <w:r w:rsidRPr="00D8538E">
        <w:rPr>
          <w:rFonts w:cs="Calibri"/>
          <w:b/>
          <w:bCs/>
        </w:rPr>
        <w:t xml:space="preserve">“Visual Depiction” includes, but is not limited to, a photograph, picture, image, motion picture, film, video, or other visual representation. </w:t>
      </w:r>
    </w:p>
    <w:p w14:paraId="748AB826" w14:textId="77777777" w:rsidR="00E53354" w:rsidRPr="00D8538E" w:rsidRDefault="00E53354" w:rsidP="00E53354">
      <w:pPr>
        <w:rPr>
          <w:rFonts w:cs="Calibri"/>
          <w:b/>
          <w:bCs/>
        </w:rPr>
      </w:pPr>
      <w:r w:rsidRPr="00D8538E">
        <w:rPr>
          <w:rFonts w:cs="Calibri"/>
          <w:b/>
          <w:bCs/>
        </w:rPr>
        <w:t xml:space="preserve">“Identifiable person” means that a person is recognizable as an actual person by the person’s face, likeness, or other distinguishing characteristic, such as a unique birthmark, or other recognizable feature.   </w:t>
      </w:r>
    </w:p>
    <w:p w14:paraId="08C780DF" w14:textId="77777777" w:rsidR="00E53354" w:rsidRPr="00D8538E" w:rsidRDefault="00E53354" w:rsidP="00E53354">
      <w:pPr>
        <w:rPr>
          <w:rFonts w:cs="Calibri"/>
          <w:b/>
          <w:bCs/>
        </w:rPr>
      </w:pPr>
      <w:r w:rsidRPr="00D8538E">
        <w:rPr>
          <w:rFonts w:cs="Calibri"/>
          <w:b/>
          <w:bCs/>
        </w:rPr>
        <w:t>“Nude Body Parts” means the human male or female genitals, pubic area, or buttocks with less than fully opaque covering; or the female breast with less than a fully opaque covering of any portion thereof below the top of the nipple; or the depiction of covered male genitals in a discernibly turgid state. [The term “nude body parts” does not under any circumstances include a mother’s breastfeeding her baby.]</w:t>
      </w:r>
    </w:p>
    <w:p w14:paraId="68A79040" w14:textId="77777777" w:rsidR="00E53354" w:rsidRPr="00D8538E" w:rsidRDefault="00E53354" w:rsidP="00E53354">
      <w:pPr>
        <w:tabs>
          <w:tab w:val="left" w:pos="720"/>
        </w:tabs>
        <w:suppressAutoHyphens/>
        <w:spacing w:after="0"/>
        <w:rPr>
          <w:rFonts w:cs="Times New Roman"/>
          <w:i/>
          <w:iCs/>
          <w:szCs w:val="24"/>
        </w:rPr>
      </w:pPr>
      <w:r w:rsidRPr="00D8538E">
        <w:rPr>
          <w:rFonts w:cs="Times New Roman"/>
          <w:i/>
          <w:iCs/>
          <w:szCs w:val="24"/>
        </w:rPr>
        <w:t>Many of these terms have their own definition. Give those definitions as appropriate. § 847.001, Fla. Stat.</w:t>
      </w:r>
    </w:p>
    <w:p w14:paraId="7F55CBA6" w14:textId="77777777" w:rsidR="00E53354" w:rsidRPr="00D8538E" w:rsidRDefault="00E53354" w:rsidP="00E53354">
      <w:pPr>
        <w:rPr>
          <w:rFonts w:cs="Calibri"/>
          <w:b/>
          <w:bCs/>
        </w:rPr>
      </w:pPr>
      <w:r w:rsidRPr="00D8538E">
        <w:rPr>
          <w:rFonts w:cs="Calibri"/>
          <w:b/>
          <w:bCs/>
        </w:rPr>
        <w:t xml:space="preserve">“Sexual conduct” means actual or simulated sexual intercourse, deviate sexual intercourse, sexual bestiality, masturbation, or sadomasochistic abuse; actual or simulated lewd exhibition of the genitals; actual physical contact with a person’s clothed or unclothed genitals, pubic area, buttocks, or, if such person is a female, breast with the intent to arouse or gratify the sexual desire of either party; or any act or conduct which constitutes sexual battery or simulates that </w:t>
      </w:r>
      <w:r w:rsidRPr="00D8538E">
        <w:rPr>
          <w:rFonts w:cs="Calibri"/>
          <w:b/>
          <w:bCs/>
        </w:rPr>
        <w:lastRenderedPageBreak/>
        <w:t xml:space="preserve">sexual battery is being or will be committed. [A mother’s breastfeeding of her baby does not under any circumstance constitute “sexual conduct.”] </w:t>
      </w:r>
    </w:p>
    <w:p w14:paraId="1972AECC" w14:textId="77777777" w:rsidR="00E53354" w:rsidRPr="00D8538E" w:rsidRDefault="00E53354" w:rsidP="00E53354">
      <w:pPr>
        <w:tabs>
          <w:tab w:val="left" w:pos="720"/>
        </w:tabs>
        <w:suppressAutoHyphens/>
        <w:spacing w:after="0"/>
        <w:rPr>
          <w:rFonts w:cs="Times New Roman"/>
          <w:i/>
          <w:iCs/>
          <w:szCs w:val="24"/>
        </w:rPr>
      </w:pPr>
      <w:r w:rsidRPr="00D8538E">
        <w:rPr>
          <w:rFonts w:cs="Times New Roman"/>
          <w:i/>
          <w:iCs/>
          <w:szCs w:val="24"/>
        </w:rPr>
        <w:t>Give if appropriate.</w:t>
      </w:r>
    </w:p>
    <w:p w14:paraId="5FA87597" w14:textId="77777777" w:rsidR="00E53354" w:rsidRPr="00D8538E" w:rsidRDefault="00E53354" w:rsidP="00E53354">
      <w:pPr>
        <w:rPr>
          <w:rFonts w:cs="Calibri"/>
          <w:b/>
          <w:bCs/>
        </w:rPr>
      </w:pPr>
      <w:r w:rsidRPr="00D8538E">
        <w:rPr>
          <w:rFonts w:cs="Calibri"/>
          <w:b/>
          <w:bCs/>
        </w:rPr>
        <w:t xml:space="preserve">The presence of a disclaimer within an altered sexual depiction which notifies a viewer that the person or persons depicted did not consent to, or participate in, the generation or promotion of the material, or that the person or persons depicted did not actually perform the actions portrayed, is not a defense to the crime. </w:t>
      </w:r>
    </w:p>
    <w:p w14:paraId="5CB40582" w14:textId="77777777" w:rsidR="00E53354" w:rsidRPr="00D8538E" w:rsidRDefault="00E53354" w:rsidP="00526223">
      <w:pPr>
        <w:pStyle w:val="SJIComments"/>
      </w:pPr>
      <w:r w:rsidRPr="00D8538E">
        <w:t>Lesser Included Offense</w:t>
      </w:r>
    </w:p>
    <w:p w14:paraId="01443C66" w14:textId="77777777" w:rsidR="00E53354" w:rsidRPr="00D8538E" w:rsidRDefault="00E53354" w:rsidP="00526223">
      <w:pPr>
        <w:pStyle w:val="Heading4"/>
      </w:pPr>
      <w:bookmarkStart w:id="1" w:name="_Toc109650326"/>
      <w:r w:rsidRPr="00D8538E">
        <w:t xml:space="preserve"> generation OF AN ALTERED SEXUAL DEPICTION — </w:t>
      </w:r>
      <w:bookmarkEnd w:id="1"/>
      <w:r w:rsidRPr="00D8538E">
        <w:t>836.13(2)</w:t>
      </w:r>
    </w:p>
    <w:tbl>
      <w:tblPr>
        <w:tblStyle w:val="TableGrid1"/>
        <w:tblW w:w="5000" w:type="pct"/>
        <w:tblLook w:val="0620" w:firstRow="1" w:lastRow="0" w:firstColumn="0" w:lastColumn="0" w:noHBand="1" w:noVBand="1"/>
      </w:tblPr>
      <w:tblGrid>
        <w:gridCol w:w="2990"/>
        <w:gridCol w:w="2990"/>
        <w:gridCol w:w="1964"/>
        <w:gridCol w:w="1406"/>
      </w:tblGrid>
      <w:tr w:rsidR="00E53354" w:rsidRPr="00D8538E" w14:paraId="2C369F25" w14:textId="77777777" w:rsidTr="00526223">
        <w:trPr>
          <w:cnfStyle w:val="100000000000" w:firstRow="1" w:lastRow="0" w:firstColumn="0" w:lastColumn="0" w:oddVBand="0" w:evenVBand="0" w:oddHBand="0" w:evenHBand="0" w:firstRowFirstColumn="0" w:firstRowLastColumn="0" w:lastRowFirstColumn="0" w:lastRowLastColumn="0"/>
        </w:trPr>
        <w:tc>
          <w:tcPr>
            <w:tcW w:w="1599" w:type="pct"/>
            <w:hideMark/>
          </w:tcPr>
          <w:p w14:paraId="31CDC54F" w14:textId="77777777" w:rsidR="00E53354" w:rsidRPr="00D8538E" w:rsidRDefault="00E53354" w:rsidP="00526223">
            <w:pPr>
              <w:pStyle w:val="SJITableText"/>
            </w:pPr>
            <w:r w:rsidRPr="00D8538E">
              <w:t>CATEGORY ONE</w:t>
            </w:r>
          </w:p>
        </w:tc>
        <w:tc>
          <w:tcPr>
            <w:tcW w:w="1599" w:type="pct"/>
            <w:hideMark/>
          </w:tcPr>
          <w:p w14:paraId="3E1740A4" w14:textId="77777777" w:rsidR="00E53354" w:rsidRPr="00D8538E" w:rsidRDefault="00E53354" w:rsidP="00526223">
            <w:pPr>
              <w:pStyle w:val="SJITableText"/>
            </w:pPr>
            <w:r w:rsidRPr="00D8538E">
              <w:t>CATEGORY TWO</w:t>
            </w:r>
          </w:p>
        </w:tc>
        <w:tc>
          <w:tcPr>
            <w:tcW w:w="1050" w:type="pct"/>
            <w:hideMark/>
          </w:tcPr>
          <w:p w14:paraId="1D17A9DC" w14:textId="77777777" w:rsidR="00E53354" w:rsidRPr="00D8538E" w:rsidRDefault="00E53354" w:rsidP="00526223">
            <w:pPr>
              <w:pStyle w:val="SJITableText"/>
            </w:pPr>
            <w:r w:rsidRPr="00D8538E">
              <w:t>FLA. STAT.</w:t>
            </w:r>
          </w:p>
        </w:tc>
        <w:tc>
          <w:tcPr>
            <w:tcW w:w="752" w:type="pct"/>
            <w:hideMark/>
          </w:tcPr>
          <w:p w14:paraId="2FDC29A6" w14:textId="77777777" w:rsidR="00E53354" w:rsidRPr="00D8538E" w:rsidRDefault="00E53354" w:rsidP="00526223">
            <w:pPr>
              <w:pStyle w:val="SJITableText"/>
            </w:pPr>
            <w:r w:rsidRPr="00D8538E">
              <w:t>INS. NO.</w:t>
            </w:r>
          </w:p>
        </w:tc>
      </w:tr>
      <w:tr w:rsidR="00E53354" w:rsidRPr="00D8538E" w14:paraId="78F27641" w14:textId="77777777" w:rsidTr="00526223">
        <w:tc>
          <w:tcPr>
            <w:tcW w:w="1599" w:type="pct"/>
            <w:hideMark/>
          </w:tcPr>
          <w:p w14:paraId="4684201D" w14:textId="77777777" w:rsidR="00E53354" w:rsidRPr="00D8538E" w:rsidRDefault="00E53354" w:rsidP="00526223">
            <w:pPr>
              <w:pStyle w:val="SJITableText"/>
            </w:pPr>
            <w:r w:rsidRPr="00D8538E">
              <w:t>None</w:t>
            </w:r>
          </w:p>
        </w:tc>
        <w:tc>
          <w:tcPr>
            <w:tcW w:w="1599" w:type="pct"/>
          </w:tcPr>
          <w:p w14:paraId="55D0D1EC" w14:textId="77777777" w:rsidR="00E53354" w:rsidRPr="00D8538E" w:rsidRDefault="00E53354" w:rsidP="00526223">
            <w:pPr>
              <w:pStyle w:val="SJITableText"/>
            </w:pPr>
          </w:p>
        </w:tc>
        <w:tc>
          <w:tcPr>
            <w:tcW w:w="1050" w:type="pct"/>
          </w:tcPr>
          <w:p w14:paraId="47123F53" w14:textId="77777777" w:rsidR="00E53354" w:rsidRPr="00D8538E" w:rsidRDefault="00E53354" w:rsidP="00526223">
            <w:pPr>
              <w:pStyle w:val="SJITableText"/>
            </w:pPr>
          </w:p>
        </w:tc>
        <w:tc>
          <w:tcPr>
            <w:tcW w:w="752" w:type="pct"/>
          </w:tcPr>
          <w:p w14:paraId="22141EE8" w14:textId="77777777" w:rsidR="00E53354" w:rsidRPr="00D8538E" w:rsidRDefault="00E53354" w:rsidP="00526223">
            <w:pPr>
              <w:pStyle w:val="SJITableText"/>
            </w:pPr>
          </w:p>
        </w:tc>
      </w:tr>
      <w:tr w:rsidR="00E53354" w:rsidRPr="00D8538E" w14:paraId="4C5F0037" w14:textId="77777777" w:rsidTr="00526223">
        <w:tc>
          <w:tcPr>
            <w:tcW w:w="1599" w:type="pct"/>
          </w:tcPr>
          <w:p w14:paraId="08AFA2DD" w14:textId="77777777" w:rsidR="00E53354" w:rsidRPr="00D8538E" w:rsidRDefault="00E53354" w:rsidP="00526223">
            <w:pPr>
              <w:pStyle w:val="SJITableText"/>
            </w:pPr>
          </w:p>
        </w:tc>
        <w:tc>
          <w:tcPr>
            <w:tcW w:w="1599" w:type="pct"/>
            <w:hideMark/>
          </w:tcPr>
          <w:p w14:paraId="5507A684" w14:textId="77777777" w:rsidR="00E53354" w:rsidRPr="00D8538E" w:rsidRDefault="00E53354" w:rsidP="00526223">
            <w:pPr>
              <w:pStyle w:val="SJITableText"/>
            </w:pPr>
            <w:r w:rsidRPr="00D8538E">
              <w:t>Attempt</w:t>
            </w:r>
          </w:p>
        </w:tc>
        <w:tc>
          <w:tcPr>
            <w:tcW w:w="1050" w:type="pct"/>
            <w:hideMark/>
          </w:tcPr>
          <w:p w14:paraId="218BF291" w14:textId="77777777" w:rsidR="00E53354" w:rsidRPr="00D8538E" w:rsidRDefault="00E53354" w:rsidP="00526223">
            <w:pPr>
              <w:pStyle w:val="SJITableText"/>
            </w:pPr>
            <w:r w:rsidRPr="00D8538E">
              <w:t>777.04(1)</w:t>
            </w:r>
          </w:p>
        </w:tc>
        <w:tc>
          <w:tcPr>
            <w:tcW w:w="752" w:type="pct"/>
            <w:hideMark/>
          </w:tcPr>
          <w:p w14:paraId="10E56BA3" w14:textId="77777777" w:rsidR="00E53354" w:rsidRPr="00D8538E" w:rsidRDefault="00E53354" w:rsidP="00526223">
            <w:pPr>
              <w:pStyle w:val="SJITableText"/>
            </w:pPr>
            <w:r w:rsidRPr="00D8538E">
              <w:t>5.1</w:t>
            </w:r>
          </w:p>
        </w:tc>
      </w:tr>
    </w:tbl>
    <w:p w14:paraId="73981A11" w14:textId="77777777" w:rsidR="00E53354" w:rsidRPr="00D8538E" w:rsidRDefault="00E53354" w:rsidP="00526223">
      <w:pPr>
        <w:pStyle w:val="SJIComments"/>
      </w:pPr>
      <w:r w:rsidRPr="00D8538E">
        <w:t>Comments</w:t>
      </w:r>
    </w:p>
    <w:p w14:paraId="2D2CE115" w14:textId="77777777" w:rsidR="00E53354" w:rsidRPr="00D8538E" w:rsidRDefault="00E53354" w:rsidP="00E53354">
      <w:pPr>
        <w:rPr>
          <w:rFonts w:cs="Calibri"/>
        </w:rPr>
      </w:pPr>
      <w:r w:rsidRPr="00D8538E">
        <w:rPr>
          <w:rFonts w:cs="Calibri"/>
        </w:rPr>
        <w:t>§ 836.13(9), Fla. Stat.,</w:t>
      </w:r>
      <w:r w:rsidRPr="00D8538E">
        <w:rPr>
          <w:rFonts w:cs="Calibri"/>
          <w:i/>
          <w:iCs/>
        </w:rPr>
        <w:t xml:space="preserve"> </w:t>
      </w:r>
      <w:r w:rsidRPr="00D8538E">
        <w:rPr>
          <w:rFonts w:cs="Calibri"/>
        </w:rPr>
        <w:t xml:space="preserve">contains exemptions from the criminal penalties in this statute. Those exemptions may be treated as affirmative defenses. Regardless of whether the defense would need to prove the exemption applies or the State would need to prove the exemption does not apply, a special instruction will be necessary if the exemption </w:t>
      </w:r>
      <w:proofErr w:type="gramStart"/>
      <w:r w:rsidRPr="00D8538E">
        <w:rPr>
          <w:rFonts w:cs="Calibri"/>
        </w:rPr>
        <w:t>is at issue</w:t>
      </w:r>
      <w:proofErr w:type="gramEnd"/>
      <w:r w:rsidRPr="00D8538E">
        <w:rPr>
          <w:rFonts w:cs="Calibri"/>
        </w:rPr>
        <w:t xml:space="preserve">. </w:t>
      </w:r>
    </w:p>
    <w:p w14:paraId="2DC3B37A" w14:textId="77777777" w:rsidR="00E53354" w:rsidRPr="00D8538E" w:rsidRDefault="00E53354" w:rsidP="00CC4D24">
      <w:r w:rsidRPr="00D8538E">
        <w:t xml:space="preserve">As of February 2026, it was unclear whether acts done for bona fide medical purposes or a mother’s breastfeeding of her baby should be treated as affirmative defenses or as elements that the State must disprove. If treated as an affirmative defense, the judge must then determine who has the burden of persuasion and what that burden is (preponderance, clear and convincing, or beyond a reasonable doubt).  </w:t>
      </w:r>
    </w:p>
    <w:p w14:paraId="47C928C9" w14:textId="77777777" w:rsidR="00E53354" w:rsidRPr="00D8538E" w:rsidRDefault="00E53354" w:rsidP="00E53354">
      <w:pPr>
        <w:rPr>
          <w:rFonts w:cs="Calibri"/>
        </w:rPr>
      </w:pPr>
      <w:r w:rsidRPr="00D8538E">
        <w:rPr>
          <w:rFonts w:cs="Calibri"/>
        </w:rPr>
        <w:t>This instruction was adopted on March 20, 2026.</w:t>
      </w:r>
    </w:p>
    <w:bookmarkEnd w:id="0"/>
    <w:p w14:paraId="0B2E7C37" w14:textId="77777777" w:rsidR="00E53354" w:rsidRPr="00D8538E" w:rsidRDefault="00E53354" w:rsidP="00E53354">
      <w:pPr>
        <w:rPr>
          <w:rFonts w:cs="Calibri"/>
        </w:rPr>
      </w:pPr>
    </w:p>
    <w:p w14:paraId="790F5D46" w14:textId="77777777" w:rsidR="009435D1" w:rsidRPr="00E53354" w:rsidRDefault="009435D1" w:rsidP="00E53354"/>
    <w:sectPr w:rsidR="009435D1" w:rsidRPr="00E53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98F7DAE"/>
    <w:multiLevelType w:val="hybridMultilevel"/>
    <w:tmpl w:val="FFFFFFFF"/>
    <w:lvl w:ilvl="0" w:tplc="EE90C4B8">
      <w:start w:val="1"/>
      <w:numFmt w:val="lowerLetter"/>
      <w:lvlText w:val="%1."/>
      <w:lvlJc w:val="left"/>
      <w:pPr>
        <w:ind w:left="2160" w:hanging="72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7221239D"/>
    <w:multiLevelType w:val="hybridMultilevel"/>
    <w:tmpl w:val="55028184"/>
    <w:lvl w:ilvl="0" w:tplc="32FA052A">
      <w:start w:val="1"/>
      <w:numFmt w:val="decimal"/>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200555358">
    <w:abstractNumId w:val="1"/>
  </w:num>
  <w:num w:numId="2" w16cid:durableId="520708106">
    <w:abstractNumId w:val="2"/>
  </w:num>
  <w:num w:numId="3" w16cid:durableId="865409230">
    <w:abstractNumId w:val="0"/>
  </w:num>
  <w:num w:numId="4" w16cid:durableId="1452939189">
    <w:abstractNumId w:val="0"/>
  </w:num>
  <w:num w:numId="5" w16cid:durableId="101650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44"/>
    <w:rsid w:val="00076773"/>
    <w:rsid w:val="00262444"/>
    <w:rsid w:val="00276059"/>
    <w:rsid w:val="00286C94"/>
    <w:rsid w:val="002E1B0E"/>
    <w:rsid w:val="003C2B3B"/>
    <w:rsid w:val="003E05DE"/>
    <w:rsid w:val="004A4C40"/>
    <w:rsid w:val="004C3A36"/>
    <w:rsid w:val="00526223"/>
    <w:rsid w:val="005307A1"/>
    <w:rsid w:val="005E099F"/>
    <w:rsid w:val="00671E14"/>
    <w:rsid w:val="007556DA"/>
    <w:rsid w:val="007D1EBA"/>
    <w:rsid w:val="009435D1"/>
    <w:rsid w:val="00B20FFD"/>
    <w:rsid w:val="00B731D3"/>
    <w:rsid w:val="00C25548"/>
    <w:rsid w:val="00C358B8"/>
    <w:rsid w:val="00CB3978"/>
    <w:rsid w:val="00CB7717"/>
    <w:rsid w:val="00CC4D24"/>
    <w:rsid w:val="00CD52F8"/>
    <w:rsid w:val="00D8340D"/>
    <w:rsid w:val="00E40FE9"/>
    <w:rsid w:val="00E52076"/>
    <w:rsid w:val="00E53354"/>
    <w:rsid w:val="00E64D68"/>
    <w:rsid w:val="00E66A64"/>
    <w:rsid w:val="00EF65D3"/>
    <w:rsid w:val="00F16FA0"/>
    <w:rsid w:val="00FE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4A4AD"/>
  <w14:defaultImageDpi w14:val="0"/>
  <w15:docId w15:val="{BB195004-AD1A-44AE-88CC-852CCC26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44"/>
    <w:pPr>
      <w:spacing w:after="220"/>
      <w:ind w:firstLine="720"/>
    </w:pPr>
    <w:rPr>
      <w:rFonts w:ascii="Bookman Old Style" w:hAnsi="Bookman Old Style" w:cs="Aptos"/>
    </w:rPr>
  </w:style>
  <w:style w:type="paragraph" w:styleId="Heading1">
    <w:name w:val="heading 1"/>
    <w:basedOn w:val="Normal"/>
    <w:next w:val="Normal"/>
    <w:link w:val="Heading1Char"/>
    <w:uiPriority w:val="9"/>
    <w:qFormat/>
    <w:rsid w:val="00262444"/>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262444"/>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262444"/>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262444"/>
    <w:pPr>
      <w:outlineLvl w:val="3"/>
    </w:pPr>
  </w:style>
  <w:style w:type="paragraph" w:styleId="Heading5">
    <w:name w:val="heading 5"/>
    <w:basedOn w:val="Normal"/>
    <w:next w:val="Normal"/>
    <w:link w:val="Heading5Char"/>
    <w:uiPriority w:val="9"/>
    <w:qFormat/>
    <w:rsid w:val="00262444"/>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262444"/>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262444"/>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262444"/>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262444"/>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62444"/>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262444"/>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262444"/>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262444"/>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262444"/>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262444"/>
    <w:rPr>
      <w:rFonts w:ascii="Times New Roman" w:hAnsi="Times New Roman" w:cs="Times New Roman"/>
      <w:b/>
      <w:bCs/>
    </w:rPr>
  </w:style>
  <w:style w:type="character" w:customStyle="1" w:styleId="Heading7Char">
    <w:name w:val="Heading 7 Char"/>
    <w:basedOn w:val="DefaultParagraphFont"/>
    <w:link w:val="Heading7"/>
    <w:uiPriority w:val="9"/>
    <w:locked/>
    <w:rsid w:val="00262444"/>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262444"/>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262444"/>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Aptos"/>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Aptos"/>
        <w:b/>
        <w:bCs/>
      </w:rPr>
      <w:tblPr/>
      <w:tcPr>
        <w:tcBorders>
          <w:top w:val="nil"/>
          <w:left w:val="nil"/>
          <w:right w:val="nil"/>
          <w:insideH w:val="nil"/>
          <w:insideV w:val="nil"/>
        </w:tcBorders>
        <w:shd w:val="clear" w:color="auto" w:fill="FFFFFF" w:themeFill="background1"/>
      </w:tcPr>
    </w:tblStylePr>
    <w:tblStylePr w:type="lastRow">
      <w:rPr>
        <w:rFonts w:cs="Aptos"/>
        <w:b/>
        <w:bCs/>
      </w:rPr>
      <w:tblPr/>
      <w:tcPr>
        <w:tcBorders>
          <w:left w:val="nil"/>
          <w:bottom w:val="nil"/>
          <w:right w:val="nil"/>
          <w:insideH w:val="nil"/>
          <w:insideV w:val="nil"/>
        </w:tcBorders>
        <w:shd w:val="clear" w:color="auto" w:fill="FFFFFF" w:themeFill="background1"/>
      </w:tcPr>
    </w:tblStylePr>
    <w:tblStylePr w:type="firstCol">
      <w:pPr>
        <w:jc w:val="right"/>
      </w:pPr>
      <w:rPr>
        <w:rFonts w:cs="Aptos"/>
        <w:i/>
        <w:iCs/>
      </w:rPr>
      <w:tblPr/>
      <w:tcPr>
        <w:tcBorders>
          <w:top w:val="nil"/>
          <w:left w:val="nil"/>
          <w:bottom w:val="nil"/>
          <w:insideH w:val="nil"/>
          <w:insideV w:val="nil"/>
        </w:tcBorders>
        <w:shd w:val="clear" w:color="auto" w:fill="FFFFFF" w:themeFill="background1"/>
      </w:tcPr>
    </w:tblStylePr>
    <w:tblStylePr w:type="lastCol">
      <w:rPr>
        <w:rFonts w:cs="Aptos"/>
        <w:i/>
        <w:iCs/>
      </w:rPr>
      <w:tblPr/>
      <w:tcPr>
        <w:tcBorders>
          <w:top w:val="nil"/>
          <w:bottom w:val="nil"/>
          <w:right w:val="nil"/>
          <w:insideH w:val="nil"/>
          <w:insideV w:val="nil"/>
        </w:tcBorders>
        <w:shd w:val="clear" w:color="auto" w:fill="FFFFFF" w:themeFill="background1"/>
      </w:tcPr>
    </w:tblStylePr>
    <w:tblStylePr w:type="band1Vert">
      <w:rPr>
        <w:rFonts w:cs="Aptos"/>
      </w:rPr>
      <w:tblPr/>
      <w:tcPr>
        <w:shd w:val="clear" w:color="auto" w:fill="DEEAF6" w:themeFill="accent5" w:themeFillTint="33"/>
      </w:tcPr>
    </w:tblStylePr>
    <w:tblStylePr w:type="band1Horz">
      <w:rPr>
        <w:rFonts w:cs="Aptos"/>
      </w:rPr>
      <w:tblPr/>
      <w:tcPr>
        <w:shd w:val="clear" w:color="auto" w:fill="DEEAF6" w:themeFill="accent5" w:themeFillTint="33"/>
      </w:tcPr>
    </w:tblStylePr>
    <w:tblStylePr w:type="neCell">
      <w:rPr>
        <w:rFonts w:cs="Aptos"/>
      </w:rPr>
      <w:tblPr/>
      <w:tcPr>
        <w:tcBorders>
          <w:bottom w:val="single" w:sz="4" w:space="0" w:color="9CC2E5" w:themeColor="accent5" w:themeTint="99"/>
        </w:tcBorders>
      </w:tcPr>
    </w:tblStylePr>
    <w:tblStylePr w:type="nwCell">
      <w:rPr>
        <w:rFonts w:cs="Aptos"/>
      </w:rPr>
      <w:tblPr/>
      <w:tcPr>
        <w:tcBorders>
          <w:bottom w:val="single" w:sz="4" w:space="0" w:color="9CC2E5" w:themeColor="accent5" w:themeTint="99"/>
        </w:tcBorders>
      </w:tcPr>
    </w:tblStylePr>
    <w:tblStylePr w:type="seCell">
      <w:rPr>
        <w:rFonts w:cs="Aptos"/>
      </w:rPr>
      <w:tblPr/>
      <w:tcPr>
        <w:tcBorders>
          <w:top w:val="single" w:sz="4" w:space="0" w:color="9CC2E5" w:themeColor="accent5" w:themeTint="99"/>
        </w:tcBorders>
      </w:tcPr>
    </w:tblStylePr>
    <w:tblStylePr w:type="swCell">
      <w:rPr>
        <w:rFonts w:cs="Aptos"/>
      </w:rPr>
      <w:tblPr/>
      <w:tcPr>
        <w:tcBorders>
          <w:top w:val="single" w:sz="4" w:space="0" w:color="9CC2E5" w:themeColor="accent5" w:themeTint="99"/>
        </w:tcBorders>
      </w:tcPr>
    </w:tblStylePr>
  </w:style>
  <w:style w:type="paragraph" w:customStyle="1" w:styleId="SJIStatuteinTitle">
    <w:name w:val="SJI Statute in Title"/>
    <w:basedOn w:val="Normal"/>
    <w:qFormat/>
    <w:rsid w:val="00262444"/>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62444"/>
    <w:pPr>
      <w:tabs>
        <w:tab w:val="left" w:pos="720"/>
      </w:tabs>
      <w:suppressAutoHyphens/>
      <w:spacing w:after="0"/>
    </w:pPr>
    <w:rPr>
      <w:rFonts w:cs="Times New Roman"/>
      <w:i/>
      <w:iCs/>
      <w:szCs w:val="24"/>
    </w:rPr>
  </w:style>
  <w:style w:type="paragraph" w:customStyle="1" w:styleId="SJIComments">
    <w:name w:val="SJI Comments"/>
    <w:basedOn w:val="Normal"/>
    <w:qFormat/>
    <w:rsid w:val="00262444"/>
    <w:pPr>
      <w:spacing w:before="220"/>
      <w:ind w:firstLine="0"/>
      <w:jc w:val="center"/>
    </w:pPr>
    <w:rPr>
      <w:rFonts w:cs="Courier New"/>
      <w:b/>
    </w:rPr>
  </w:style>
  <w:style w:type="paragraph" w:customStyle="1" w:styleId="SJIlist1">
    <w:name w:val="SJI list 1"/>
    <w:basedOn w:val="Normal"/>
    <w:qFormat/>
    <w:rsid w:val="00262444"/>
    <w:pPr>
      <w:widowControl w:val="0"/>
      <w:autoSpaceDE w:val="0"/>
      <w:autoSpaceDN w:val="0"/>
      <w:adjustRightInd w:val="0"/>
      <w:ind w:left="1296" w:hanging="576"/>
    </w:pPr>
    <w:rPr>
      <w:rFonts w:cs="Times New Roman"/>
    </w:rPr>
  </w:style>
  <w:style w:type="character" w:customStyle="1" w:styleId="SJIBold">
    <w:name w:val="SJI Bold"/>
    <w:uiPriority w:val="1"/>
    <w:qFormat/>
    <w:rsid w:val="00262444"/>
    <w:rPr>
      <w:b/>
    </w:rPr>
  </w:style>
  <w:style w:type="paragraph" w:customStyle="1" w:styleId="SJIText">
    <w:name w:val="SJI Text"/>
    <w:basedOn w:val="Normal"/>
    <w:next w:val="Normal"/>
    <w:qFormat/>
    <w:rsid w:val="00262444"/>
    <w:rPr>
      <w:rFonts w:cs="Times New Roman"/>
    </w:rPr>
  </w:style>
  <w:style w:type="paragraph" w:customStyle="1" w:styleId="SJITableText">
    <w:name w:val="SJI Table Text"/>
    <w:basedOn w:val="Normal"/>
    <w:qFormat/>
    <w:rsid w:val="00262444"/>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62444"/>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262444"/>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262444"/>
    <w:pPr>
      <w:numPr>
        <w:numId w:val="4"/>
      </w:numPr>
    </w:pPr>
    <w:rPr>
      <w:rFonts w:cs="Times New Roman"/>
    </w:rPr>
  </w:style>
  <w:style w:type="paragraph" w:styleId="ListParagraph">
    <w:name w:val="List Paragraph"/>
    <w:basedOn w:val="Normal"/>
    <w:uiPriority w:val="34"/>
    <w:qFormat/>
    <w:rsid w:val="00262444"/>
    <w:pPr>
      <w:ind w:left="720"/>
    </w:pPr>
  </w:style>
  <w:style w:type="paragraph" w:customStyle="1" w:styleId="SJITableNotation">
    <w:name w:val="SJI Table Notation"/>
    <w:basedOn w:val="SJITableText"/>
    <w:qFormat/>
    <w:rsid w:val="00262444"/>
    <w:pPr>
      <w:spacing w:before="120" w:after="240"/>
    </w:pPr>
  </w:style>
  <w:style w:type="character" w:customStyle="1" w:styleId="SJIUnderline">
    <w:name w:val="SJI Underline"/>
    <w:uiPriority w:val="1"/>
    <w:qFormat/>
    <w:rsid w:val="00262444"/>
    <w:rPr>
      <w:rFonts w:ascii="Times New Roman" w:hAnsi="Times New Roman"/>
      <w:sz w:val="28"/>
      <w:u w:val="single"/>
    </w:rPr>
  </w:style>
  <w:style w:type="paragraph" w:styleId="Caption">
    <w:name w:val="caption"/>
    <w:basedOn w:val="Normal"/>
    <w:next w:val="Normal"/>
    <w:uiPriority w:val="35"/>
    <w:semiHidden/>
    <w:unhideWhenUsed/>
    <w:qFormat/>
    <w:rsid w:val="00262444"/>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262444"/>
    <w:pPr>
      <w:jc w:val="center"/>
    </w:pPr>
    <w:rPr>
      <w:rFonts w:cs="Times New Roman"/>
      <w:b/>
      <w:bCs/>
      <w:sz w:val="28"/>
      <w:szCs w:val="28"/>
    </w:rPr>
  </w:style>
  <w:style w:type="character" w:customStyle="1" w:styleId="TitleChar">
    <w:name w:val="Title Char"/>
    <w:basedOn w:val="DefaultParagraphFont"/>
    <w:link w:val="Title"/>
    <w:uiPriority w:val="10"/>
    <w:locked/>
    <w:rsid w:val="00262444"/>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262444"/>
    <w:pPr>
      <w:spacing w:after="0" w:line="240" w:lineRule="auto"/>
    </w:pPr>
    <w:rPr>
      <w:rFonts w:ascii="Bookman Old Style" w:hAnsi="Bookman Old Style" w:cs="Aptos"/>
      <w:color w:val="000000"/>
    </w:rPr>
  </w:style>
  <w:style w:type="paragraph" w:styleId="Subtitle">
    <w:name w:val="Subtitle"/>
    <w:basedOn w:val="Normal"/>
    <w:next w:val="Normal"/>
    <w:link w:val="SubtitleChar"/>
    <w:uiPriority w:val="11"/>
    <w:qFormat/>
    <w:rsid w:val="00262444"/>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262444"/>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262444"/>
    <w:rPr>
      <w:rFonts w:ascii="Bookman Old Style" w:hAnsi="Bookman Old Style" w:cs="Times New Roman"/>
      <w:color w:val="000000"/>
    </w:rPr>
  </w:style>
  <w:style w:type="paragraph" w:styleId="Quote">
    <w:name w:val="Quote"/>
    <w:basedOn w:val="Normal"/>
    <w:next w:val="Normal"/>
    <w:link w:val="QuoteChar"/>
    <w:uiPriority w:val="29"/>
    <w:qFormat/>
    <w:rsid w:val="00262444"/>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262444"/>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262444"/>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262444"/>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262444"/>
    <w:pPr>
      <w:outlineLvl w:val="9"/>
    </w:pPr>
    <w:rPr>
      <w:b w:val="0"/>
      <w:caps w:val="0"/>
      <w:sz w:val="32"/>
    </w:rPr>
  </w:style>
  <w:style w:type="numbering" w:customStyle="1" w:styleId="NumberandSubs">
    <w:name w:val="Number and Subs"/>
    <w:pPr>
      <w:numPr>
        <w:numId w:val="1"/>
      </w:numPr>
    </w:pPr>
  </w:style>
  <w:style w:type="table" w:customStyle="1" w:styleId="TableGrid11">
    <w:name w:val="Table Grid11"/>
    <w:basedOn w:val="TableNormal"/>
    <w:next w:val="TableGrid"/>
    <w:uiPriority w:val="99"/>
    <w:rsid w:val="00E64D68"/>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E6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E53354"/>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Yu Gothic Light" w:hAnsi="@Yu Gothic Light" w:cs="Times New Roman"/>
        <w:b/>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995760">
      <w:marLeft w:val="0"/>
      <w:marRight w:val="0"/>
      <w:marTop w:val="0"/>
      <w:marBottom w:val="0"/>
      <w:divBdr>
        <w:top w:val="none" w:sz="0" w:space="0" w:color="auto"/>
        <w:left w:val="none" w:sz="0" w:space="0" w:color="auto"/>
        <w:bottom w:val="none" w:sz="0" w:space="0" w:color="auto"/>
        <w:right w:val="none" w:sz="0" w:space="0" w:color="auto"/>
      </w:divBdr>
    </w:div>
    <w:div w:id="726995761">
      <w:marLeft w:val="0"/>
      <w:marRight w:val="0"/>
      <w:marTop w:val="0"/>
      <w:marBottom w:val="0"/>
      <w:divBdr>
        <w:top w:val="none" w:sz="0" w:space="0" w:color="auto"/>
        <w:left w:val="none" w:sz="0" w:space="0" w:color="auto"/>
        <w:bottom w:val="none" w:sz="0" w:space="0" w:color="auto"/>
        <w:right w:val="none" w:sz="0" w:space="0" w:color="auto"/>
      </w:divBdr>
    </w:div>
    <w:div w:id="726995762">
      <w:marLeft w:val="0"/>
      <w:marRight w:val="0"/>
      <w:marTop w:val="0"/>
      <w:marBottom w:val="0"/>
      <w:divBdr>
        <w:top w:val="none" w:sz="0" w:space="0" w:color="auto"/>
        <w:left w:val="none" w:sz="0" w:space="0" w:color="auto"/>
        <w:bottom w:val="none" w:sz="0" w:space="0" w:color="auto"/>
        <w:right w:val="none" w:sz="0" w:space="0" w:color="auto"/>
      </w:divBdr>
    </w:div>
    <w:div w:id="726995763">
      <w:marLeft w:val="0"/>
      <w:marRight w:val="0"/>
      <w:marTop w:val="0"/>
      <w:marBottom w:val="0"/>
      <w:divBdr>
        <w:top w:val="none" w:sz="0" w:space="0" w:color="auto"/>
        <w:left w:val="none" w:sz="0" w:space="0" w:color="auto"/>
        <w:bottom w:val="none" w:sz="0" w:space="0" w:color="auto"/>
        <w:right w:val="none" w:sz="0" w:space="0" w:color="auto"/>
      </w:divBdr>
    </w:div>
    <w:div w:id="726995764">
      <w:marLeft w:val="0"/>
      <w:marRight w:val="0"/>
      <w:marTop w:val="0"/>
      <w:marBottom w:val="0"/>
      <w:divBdr>
        <w:top w:val="none" w:sz="0" w:space="0" w:color="auto"/>
        <w:left w:val="none" w:sz="0" w:space="0" w:color="auto"/>
        <w:bottom w:val="none" w:sz="0" w:space="0" w:color="auto"/>
        <w:right w:val="none" w:sz="0" w:space="0" w:color="auto"/>
      </w:divBdr>
    </w:div>
    <w:div w:id="726995765">
      <w:marLeft w:val="0"/>
      <w:marRight w:val="0"/>
      <w:marTop w:val="0"/>
      <w:marBottom w:val="0"/>
      <w:divBdr>
        <w:top w:val="none" w:sz="0" w:space="0" w:color="auto"/>
        <w:left w:val="none" w:sz="0" w:space="0" w:color="auto"/>
        <w:bottom w:val="none" w:sz="0" w:space="0" w:color="auto"/>
        <w:right w:val="none" w:sz="0" w:space="0" w:color="auto"/>
      </w:divBdr>
    </w:div>
    <w:div w:id="726995766">
      <w:marLeft w:val="0"/>
      <w:marRight w:val="0"/>
      <w:marTop w:val="0"/>
      <w:marBottom w:val="0"/>
      <w:divBdr>
        <w:top w:val="none" w:sz="0" w:space="0" w:color="auto"/>
        <w:left w:val="none" w:sz="0" w:space="0" w:color="auto"/>
        <w:bottom w:val="none" w:sz="0" w:space="0" w:color="auto"/>
        <w:right w:val="none" w:sz="0" w:space="0" w:color="auto"/>
      </w:divBdr>
    </w:div>
    <w:div w:id="726995767">
      <w:marLeft w:val="0"/>
      <w:marRight w:val="0"/>
      <w:marTop w:val="0"/>
      <w:marBottom w:val="0"/>
      <w:divBdr>
        <w:top w:val="none" w:sz="0" w:space="0" w:color="auto"/>
        <w:left w:val="none" w:sz="0" w:space="0" w:color="auto"/>
        <w:bottom w:val="none" w:sz="0" w:space="0" w:color="auto"/>
        <w:right w:val="none" w:sz="0" w:space="0" w:color="auto"/>
      </w:divBdr>
    </w:div>
    <w:div w:id="1879510528">
      <w:bodyDiv w:val="1"/>
      <w:marLeft w:val="0"/>
      <w:marRight w:val="0"/>
      <w:marTop w:val="0"/>
      <w:marBottom w:val="0"/>
      <w:divBdr>
        <w:top w:val="none" w:sz="0" w:space="0" w:color="auto"/>
        <w:left w:val="none" w:sz="0" w:space="0" w:color="auto"/>
        <w:bottom w:val="none" w:sz="0" w:space="0" w:color="auto"/>
        <w:right w:val="none" w:sz="0" w:space="0" w:color="auto"/>
      </w:divBdr>
      <w:divsChild>
        <w:div w:id="1416364717">
          <w:marLeft w:val="0"/>
          <w:marRight w:val="0"/>
          <w:marTop w:val="0"/>
          <w:marBottom w:val="0"/>
          <w:divBdr>
            <w:top w:val="none" w:sz="0" w:space="0" w:color="auto"/>
            <w:left w:val="none" w:sz="0" w:space="0" w:color="auto"/>
            <w:bottom w:val="none" w:sz="0" w:space="0" w:color="auto"/>
            <w:right w:val="none" w:sz="0" w:space="0" w:color="auto"/>
          </w:divBdr>
        </w:div>
        <w:div w:id="1039010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2</cp:revision>
  <dcterms:created xsi:type="dcterms:W3CDTF">2026-03-25T17:50:00Z</dcterms:created>
  <dcterms:modified xsi:type="dcterms:W3CDTF">2026-03-25T17:50:00Z</dcterms:modified>
</cp:coreProperties>
</file>