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6AD8" w14:textId="77777777" w:rsidR="006E44E5" w:rsidRPr="00CE2714" w:rsidRDefault="006E44E5" w:rsidP="006E44E5">
      <w:pPr>
        <w:pStyle w:val="Heading3"/>
      </w:pPr>
      <w:bookmarkStart w:id="0" w:name="_Toc109650300"/>
      <w:bookmarkStart w:id="1" w:name="_Toc110239867"/>
      <w:bookmarkStart w:id="2" w:name="_Toc124149667"/>
      <w:r w:rsidRPr="00CE2714">
        <w:t>7.7 MANSLAUGHTER</w:t>
      </w:r>
      <w:bookmarkEnd w:id="0"/>
      <w:bookmarkEnd w:id="1"/>
      <w:bookmarkEnd w:id="2"/>
    </w:p>
    <w:p w14:paraId="2CEFABA0" w14:textId="77777777" w:rsidR="006E44E5" w:rsidRDefault="006E44E5" w:rsidP="006E44E5">
      <w:pPr>
        <w:pStyle w:val="SJIStatuteinTitle"/>
      </w:pPr>
      <w:r w:rsidRPr="00CE2714">
        <w:t>§ 782.07, Fla. Stat.</w:t>
      </w:r>
    </w:p>
    <w:p w14:paraId="3BF04BDB" w14:textId="77777777" w:rsidR="00573138" w:rsidRPr="00F4589A" w:rsidRDefault="00573138" w:rsidP="00F4589A">
      <w:pPr>
        <w:rPr>
          <w:i/>
          <w:iCs/>
        </w:rPr>
      </w:pPr>
      <w:r w:rsidRPr="00F4589A">
        <w:rPr>
          <w:i/>
          <w:iCs/>
        </w:rPr>
        <w:t>It is fundamental error not to instruct on justifiable and excusable homicide in the absence of an express concession that the homicide was not excusable or justified. See State v. Spencer, 216 So. 3d 481 (Fla. 2017).</w:t>
      </w:r>
    </w:p>
    <w:p w14:paraId="0197D3B9" w14:textId="77777777" w:rsidR="006E44E5" w:rsidRDefault="006E44E5" w:rsidP="006E44E5">
      <w:pPr>
        <w:autoSpaceDE w:val="0"/>
        <w:autoSpaceDN w:val="0"/>
        <w:adjustRightInd w:val="0"/>
        <w:rPr>
          <w:b/>
        </w:rPr>
      </w:pPr>
      <w:r w:rsidRPr="00CE2714">
        <w:rPr>
          <w:b/>
        </w:rPr>
        <w:t>To prove the crime of Manslaughter, the State must prove the following two elements beyond a reasonable doubt:</w:t>
      </w:r>
    </w:p>
    <w:p w14:paraId="38A21555" w14:textId="77777777" w:rsidR="006E44E5" w:rsidRDefault="006E44E5" w:rsidP="006E44E5">
      <w:pPr>
        <w:widowControl w:val="0"/>
        <w:autoSpaceDE w:val="0"/>
        <w:autoSpaceDN w:val="0"/>
        <w:adjustRightInd w:val="0"/>
        <w:ind w:left="1440" w:right="720" w:hanging="720"/>
        <w:rPr>
          <w:b/>
        </w:rPr>
      </w:pPr>
      <w:r w:rsidRPr="00CE2714">
        <w:rPr>
          <w:b/>
        </w:rPr>
        <w:t>1.</w:t>
      </w:r>
      <w:r w:rsidRPr="00CE2714">
        <w:rPr>
          <w:b/>
        </w:rPr>
        <w:tab/>
      </w:r>
      <w:r w:rsidRPr="00CE2714">
        <w:t>(Victim)</w:t>
      </w:r>
      <w:r w:rsidRPr="00CE2714">
        <w:rPr>
          <w:b/>
        </w:rPr>
        <w:t xml:space="preserve"> is dead.</w:t>
      </w:r>
    </w:p>
    <w:p w14:paraId="3D192F67" w14:textId="368E5D2D" w:rsidR="006E44E5" w:rsidRPr="00CE2714" w:rsidRDefault="006E44E5" w:rsidP="006E44E5">
      <w:pPr>
        <w:pStyle w:val="SJITextItalic"/>
      </w:pPr>
      <w:r w:rsidRPr="00CE2714">
        <w:t xml:space="preserve">Give </w:t>
      </w:r>
      <w:r w:rsidR="003A5F14">
        <w:t xml:space="preserve">as applicable. </w:t>
      </w:r>
    </w:p>
    <w:p w14:paraId="0A3C5957" w14:textId="6EB93078" w:rsidR="006E44E5" w:rsidRDefault="006E44E5" w:rsidP="006E44E5">
      <w:pPr>
        <w:keepNext/>
        <w:keepLines/>
        <w:widowControl w:val="0"/>
        <w:tabs>
          <w:tab w:val="left" w:pos="2070"/>
        </w:tabs>
        <w:autoSpaceDE w:val="0"/>
        <w:autoSpaceDN w:val="0"/>
        <w:adjustRightInd w:val="0"/>
        <w:ind w:left="2160" w:right="720" w:hanging="1440"/>
        <w:rPr>
          <w:b/>
        </w:rPr>
      </w:pPr>
      <w:r w:rsidRPr="00CE2714">
        <w:rPr>
          <w:b/>
        </w:rPr>
        <w:t>2.</w:t>
      </w:r>
      <w:r>
        <w:rPr>
          <w:b/>
        </w:rPr>
        <w:t xml:space="preserve">      </w:t>
      </w:r>
      <w:r w:rsidRPr="00CE2714">
        <w:rPr>
          <w:b/>
        </w:rPr>
        <w:t>a.</w:t>
      </w:r>
      <w:r w:rsidRPr="00CE2714">
        <w:rPr>
          <w:b/>
        </w:rPr>
        <w:tab/>
      </w:r>
      <w:r w:rsidR="00AA2E97">
        <w:rPr>
          <w:b/>
        </w:rPr>
        <w:t xml:space="preserve"> </w:t>
      </w:r>
      <w:r w:rsidRPr="000A65EF">
        <w:rPr>
          <w:bCs/>
        </w:rPr>
        <w:t>(Defendant)</w:t>
      </w:r>
      <w:r w:rsidRPr="00CE2714">
        <w:rPr>
          <w:b/>
        </w:rPr>
        <w:t xml:space="preserve"> intentionally committed an act or acts that</w:t>
      </w:r>
      <w:r>
        <w:rPr>
          <w:b/>
        </w:rPr>
        <w:t xml:space="preserve"> </w:t>
      </w:r>
      <w:r w:rsidRPr="00CE2714">
        <w:rPr>
          <w:b/>
        </w:rPr>
        <w:t xml:space="preserve">caused the death of </w:t>
      </w:r>
      <w:r w:rsidRPr="000A65EF">
        <w:rPr>
          <w:bCs/>
        </w:rPr>
        <w:t>(victim)</w:t>
      </w:r>
      <w:r w:rsidRPr="000A65EF">
        <w:rPr>
          <w:b/>
        </w:rPr>
        <w:t>.</w:t>
      </w:r>
    </w:p>
    <w:p w14:paraId="483C06B1" w14:textId="77777777" w:rsidR="006E44E5" w:rsidRDefault="006E44E5" w:rsidP="006E44E5">
      <w:pPr>
        <w:widowControl w:val="0"/>
        <w:autoSpaceDE w:val="0"/>
        <w:autoSpaceDN w:val="0"/>
        <w:adjustRightInd w:val="0"/>
        <w:ind w:left="2160" w:right="720" w:hanging="720"/>
        <w:rPr>
          <w:b/>
        </w:rPr>
      </w:pPr>
      <w:r w:rsidRPr="00CE2714">
        <w:rPr>
          <w:b/>
        </w:rPr>
        <w:t>b.</w:t>
      </w:r>
      <w:r w:rsidRPr="00CE2714">
        <w:rPr>
          <w:b/>
        </w:rPr>
        <w:tab/>
      </w:r>
      <w:r w:rsidRPr="00B12DDF">
        <w:t>(</w:t>
      </w:r>
      <w:r w:rsidRPr="003658EC">
        <w:t>Defendant)</w:t>
      </w:r>
      <w:r w:rsidRPr="003658EC">
        <w:rPr>
          <w:b/>
        </w:rPr>
        <w:t xml:space="preserve"> intentionally procured an act that caused the death of </w:t>
      </w:r>
      <w:r w:rsidRPr="003658EC">
        <w:t>(victim)</w:t>
      </w:r>
      <w:r w:rsidRPr="003658EC">
        <w:rPr>
          <w:b/>
        </w:rPr>
        <w:t>.</w:t>
      </w:r>
    </w:p>
    <w:p w14:paraId="41D994F5" w14:textId="77777777" w:rsidR="006E44E5" w:rsidRDefault="006E44E5" w:rsidP="006E44E5">
      <w:pPr>
        <w:widowControl w:val="0"/>
        <w:autoSpaceDE w:val="0"/>
        <w:autoSpaceDN w:val="0"/>
        <w:adjustRightInd w:val="0"/>
        <w:ind w:left="2160" w:right="720" w:hanging="720"/>
        <w:rPr>
          <w:b/>
        </w:rPr>
      </w:pPr>
      <w:r w:rsidRPr="00094F56">
        <w:rPr>
          <w:b/>
        </w:rPr>
        <w:t>c.</w:t>
      </w:r>
      <w:r w:rsidRPr="00CE2714">
        <w:rPr>
          <w:b/>
        </w:rPr>
        <w:tab/>
        <w:t xml:space="preserve">The death of </w:t>
      </w:r>
      <w:r w:rsidRPr="00CE2714">
        <w:t>(victim)</w:t>
      </w:r>
      <w:r w:rsidRPr="00CE2714">
        <w:rPr>
          <w:b/>
        </w:rPr>
        <w:t xml:space="preserve"> was caused by the culpable negligence of </w:t>
      </w:r>
      <w:r w:rsidRPr="00CE2714">
        <w:t>(defendant)</w:t>
      </w:r>
      <w:r w:rsidRPr="00CE2714">
        <w:rPr>
          <w:b/>
        </w:rPr>
        <w:t>.</w:t>
      </w:r>
    </w:p>
    <w:p w14:paraId="1B795F31" w14:textId="0E9947B7" w:rsidR="006E44E5" w:rsidRPr="00F4589A" w:rsidRDefault="006E44E5" w:rsidP="00F4589A">
      <w:pPr>
        <w:rPr>
          <w:b/>
          <w:bCs/>
          <w:strike/>
        </w:rPr>
      </w:pPr>
      <w:r w:rsidRPr="00F4589A">
        <w:rPr>
          <w:b/>
          <w:bCs/>
        </w:rPr>
        <w:t>Every person has a duty to act reasonably toward others. If there is a violation of that duty, without any conscious intention to harm, that violation is negligence. The defendant cannot be guilty of Manslaughter by committing a merely negligent act or if the killing was either justifiable or excusable homicide, as I have previously instructed you.</w:t>
      </w:r>
    </w:p>
    <w:p w14:paraId="1A45A4C2" w14:textId="64D96126" w:rsidR="006E44E5" w:rsidRPr="00F4589A" w:rsidRDefault="002A2D36" w:rsidP="00F4589A">
      <w:pPr>
        <w:rPr>
          <w:b/>
          <w:bCs/>
        </w:rPr>
      </w:pPr>
      <w:r w:rsidRPr="00F4589A">
        <w:rPr>
          <w:b/>
          <w:bCs/>
        </w:rPr>
        <w:t xml:space="preserve">To </w:t>
      </w:r>
      <w:r w:rsidR="006E44E5" w:rsidRPr="00F4589A">
        <w:rPr>
          <w:b/>
          <w:bCs/>
        </w:rPr>
        <w:t>convict of Manslaughter, it is not necessary for the State to prove that the defendant had an intent to cause death, only an intent to commit an act that was not merely negligent, justified, or excusable</w:t>
      </w:r>
      <w:r w:rsidR="003A5F14" w:rsidRPr="00F4589A">
        <w:rPr>
          <w:b/>
          <w:bCs/>
        </w:rPr>
        <w:t>,</w:t>
      </w:r>
      <w:r w:rsidR="006E44E5" w:rsidRPr="00F4589A">
        <w:rPr>
          <w:b/>
          <w:bCs/>
        </w:rPr>
        <w:t xml:space="preserve"> and which caused death.</w:t>
      </w:r>
    </w:p>
    <w:p w14:paraId="7CCE64AA" w14:textId="074918D2" w:rsidR="006E44E5" w:rsidRPr="003658EC" w:rsidRDefault="006E44E5" w:rsidP="006E44E5">
      <w:pPr>
        <w:pStyle w:val="SJITextItalic"/>
      </w:pPr>
      <w:r w:rsidRPr="003658EC">
        <w:t xml:space="preserve">Give only if </w:t>
      </w:r>
      <w:r w:rsidR="003A5F14">
        <w:t xml:space="preserve">element </w:t>
      </w:r>
      <w:r w:rsidRPr="003658EC">
        <w:t>2b is applicable.</w:t>
      </w:r>
    </w:p>
    <w:p w14:paraId="14F8C4D2" w14:textId="77777777" w:rsidR="006E44E5" w:rsidRPr="003658EC" w:rsidRDefault="006E44E5" w:rsidP="006E44E5">
      <w:pPr>
        <w:autoSpaceDE w:val="0"/>
        <w:autoSpaceDN w:val="0"/>
        <w:adjustRightInd w:val="0"/>
        <w:rPr>
          <w:b/>
        </w:rPr>
      </w:pPr>
      <w:r w:rsidRPr="003658EC">
        <w:rPr>
          <w:b/>
        </w:rPr>
        <w:t>To “procure” means to persuade, induce, prevail upon or cause a person to do something.</w:t>
      </w:r>
    </w:p>
    <w:p w14:paraId="26A377E5" w14:textId="25A5CDEA" w:rsidR="006E44E5" w:rsidRPr="003A5F14" w:rsidRDefault="006E44E5" w:rsidP="006E44E5">
      <w:pPr>
        <w:pStyle w:val="SJITextItalic"/>
      </w:pPr>
      <w:r w:rsidRPr="003A5F14">
        <w:t xml:space="preserve">Give only if </w:t>
      </w:r>
      <w:r w:rsidR="005924F5" w:rsidRPr="003A5F14">
        <w:t xml:space="preserve">element </w:t>
      </w:r>
      <w:r w:rsidRPr="003A5F14">
        <w:t>2c is applicable.</w:t>
      </w:r>
    </w:p>
    <w:p w14:paraId="683B4A3B" w14:textId="0270D22A" w:rsidR="006E44E5" w:rsidRPr="00847020" w:rsidRDefault="006E44E5" w:rsidP="00847020">
      <w:pPr>
        <w:rPr>
          <w:b/>
          <w:bCs/>
        </w:rPr>
      </w:pPr>
      <w:r w:rsidRPr="00847020">
        <w:rPr>
          <w:b/>
          <w:bCs/>
        </w:rPr>
        <w:t xml:space="preserve">I will now define “culpable negligence” for you. As I have said, every person has a duty to act reasonably toward others. If there is a violation of that duty, without any conscious intention to harm, that violation is negligence. But culpable negligence is more than a failure to use ordinary care toward others. </w:t>
      </w:r>
      <w:r w:rsidR="002A2D36" w:rsidRPr="00847020">
        <w:rPr>
          <w:b/>
          <w:bCs/>
        </w:rPr>
        <w:t xml:space="preserve">For </w:t>
      </w:r>
      <w:r w:rsidRPr="00847020">
        <w:rPr>
          <w:b/>
          <w:bCs/>
        </w:rPr>
        <w:t>negligence to be culpable, it must be gross and flagrant. Culpable negligence is a course of conduct showing reckless disregard of human life or a grossly careless disregard for the safety and welfare of the public.</w:t>
      </w:r>
    </w:p>
    <w:p w14:paraId="459BA28F" w14:textId="31462921" w:rsidR="006E44E5" w:rsidRPr="003A5F14" w:rsidRDefault="006E44E5" w:rsidP="006E44E5">
      <w:pPr>
        <w:autoSpaceDE w:val="0"/>
        <w:autoSpaceDN w:val="0"/>
        <w:adjustRightInd w:val="0"/>
        <w:rPr>
          <w:b/>
        </w:rPr>
      </w:pPr>
      <w:r w:rsidRPr="00AD1ED7">
        <w:rPr>
          <w:b/>
        </w:rPr>
        <w:t xml:space="preserve">The negligent act or omission must have been committed with an utter disregard for the safety of </w:t>
      </w:r>
      <w:r w:rsidR="003A5F14">
        <w:rPr>
          <w:b/>
        </w:rPr>
        <w:t>another</w:t>
      </w:r>
      <w:r w:rsidRPr="00AD1ED7">
        <w:rPr>
          <w:b/>
        </w:rPr>
        <w:t>.</w:t>
      </w:r>
      <w:r w:rsidRPr="00CE2714">
        <w:rPr>
          <w:b/>
        </w:rPr>
        <w:t xml:space="preserve"> Culpable negligence is consciously doing an </w:t>
      </w:r>
      <w:r w:rsidRPr="00CE2714">
        <w:rPr>
          <w:b/>
        </w:rPr>
        <w:lastRenderedPageBreak/>
        <w:t xml:space="preserve">act or following a course of </w:t>
      </w:r>
      <w:r w:rsidRPr="003A5F14">
        <w:rPr>
          <w:b/>
        </w:rPr>
        <w:t xml:space="preserve">conduct that the defendant </w:t>
      </w:r>
      <w:r w:rsidR="002A2D36" w:rsidRPr="003A5F14">
        <w:rPr>
          <w:b/>
        </w:rPr>
        <w:t>knew</w:t>
      </w:r>
      <w:r w:rsidRPr="003A5F14">
        <w:rPr>
          <w:b/>
        </w:rPr>
        <w:t xml:space="preserve"> or reasonably should have known was likely to cause death or great bodily injury.</w:t>
      </w:r>
    </w:p>
    <w:p w14:paraId="7EB81BB7" w14:textId="77777777" w:rsidR="006E44E5" w:rsidRPr="003A5F14" w:rsidRDefault="006E44E5" w:rsidP="006E44E5">
      <w:pPr>
        <w:pStyle w:val="SJIComments"/>
      </w:pPr>
      <w:r w:rsidRPr="003A5F14">
        <w:t>Lesser Included Offenses</w:t>
      </w:r>
    </w:p>
    <w:p w14:paraId="780C3E87" w14:textId="77777777" w:rsidR="006E44E5" w:rsidRPr="003A5F14" w:rsidRDefault="006E44E5" w:rsidP="006E44E5">
      <w:pPr>
        <w:pStyle w:val="Heading4"/>
      </w:pPr>
      <w:bookmarkStart w:id="3" w:name="_Toc109650301"/>
      <w:r w:rsidRPr="003A5F14">
        <w:t xml:space="preserve">MANSLAUGHTER </w:t>
      </w:r>
      <w:r w:rsidRPr="003A5F14">
        <w:noBreakHyphen/>
        <w:t xml:space="preserve"> 782.07</w:t>
      </w:r>
      <w:bookmarkEnd w:id="3"/>
    </w:p>
    <w:tbl>
      <w:tblPr>
        <w:tblStyle w:val="TableGrid1"/>
        <w:tblW w:w="5000" w:type="pct"/>
        <w:tblLook w:val="0620" w:firstRow="1" w:lastRow="0" w:firstColumn="0" w:lastColumn="0" w:noHBand="1" w:noVBand="1"/>
      </w:tblPr>
      <w:tblGrid>
        <w:gridCol w:w="2155"/>
        <w:gridCol w:w="4050"/>
        <w:gridCol w:w="1711"/>
        <w:gridCol w:w="1434"/>
      </w:tblGrid>
      <w:tr w:rsidR="006E44E5" w:rsidRPr="003A5F14" w14:paraId="4590D008" w14:textId="77777777" w:rsidTr="00F4589A">
        <w:trPr>
          <w:cnfStyle w:val="100000000000" w:firstRow="1" w:lastRow="0" w:firstColumn="0" w:lastColumn="0" w:oddVBand="0" w:evenVBand="0" w:oddHBand="0" w:evenHBand="0" w:firstRowFirstColumn="0" w:firstRowLastColumn="0" w:lastRowFirstColumn="0" w:lastRowLastColumn="0"/>
        </w:trPr>
        <w:tc>
          <w:tcPr>
            <w:tcW w:w="1152" w:type="pct"/>
          </w:tcPr>
          <w:p w14:paraId="08C7B569" w14:textId="77777777" w:rsidR="006E44E5" w:rsidRPr="003A5F14" w:rsidRDefault="006E44E5" w:rsidP="00230B57">
            <w:pPr>
              <w:pStyle w:val="SJITableText"/>
            </w:pPr>
            <w:r w:rsidRPr="003A5F14">
              <w:t>CATEGORY ONE</w:t>
            </w:r>
          </w:p>
        </w:tc>
        <w:tc>
          <w:tcPr>
            <w:tcW w:w="2166" w:type="pct"/>
          </w:tcPr>
          <w:p w14:paraId="70873410" w14:textId="77777777" w:rsidR="006E44E5" w:rsidRPr="003A5F14" w:rsidRDefault="006E44E5" w:rsidP="00230B57">
            <w:pPr>
              <w:pStyle w:val="SJITableText"/>
            </w:pPr>
            <w:r w:rsidRPr="003A5F14">
              <w:t>CATEGORY TWO</w:t>
            </w:r>
          </w:p>
        </w:tc>
        <w:tc>
          <w:tcPr>
            <w:tcW w:w="915" w:type="pct"/>
          </w:tcPr>
          <w:p w14:paraId="0DE54F7D" w14:textId="77777777" w:rsidR="006E44E5" w:rsidRPr="003A5F14" w:rsidRDefault="006E44E5" w:rsidP="00230B57">
            <w:pPr>
              <w:pStyle w:val="SJITableText"/>
            </w:pPr>
            <w:r w:rsidRPr="003A5F14">
              <w:t>FLA. STAT.</w:t>
            </w:r>
          </w:p>
        </w:tc>
        <w:tc>
          <w:tcPr>
            <w:tcW w:w="767" w:type="pct"/>
          </w:tcPr>
          <w:p w14:paraId="312723AF" w14:textId="77777777" w:rsidR="006E44E5" w:rsidRPr="003A5F14" w:rsidRDefault="006E44E5" w:rsidP="00230B57">
            <w:pPr>
              <w:pStyle w:val="SJITableText"/>
            </w:pPr>
            <w:r w:rsidRPr="003A5F14">
              <w:t>INS. NO.</w:t>
            </w:r>
          </w:p>
        </w:tc>
      </w:tr>
      <w:tr w:rsidR="006E44E5" w:rsidRPr="003A5F14" w14:paraId="4D0ECB1F" w14:textId="77777777" w:rsidTr="00F4589A">
        <w:tc>
          <w:tcPr>
            <w:tcW w:w="1152" w:type="pct"/>
          </w:tcPr>
          <w:p w14:paraId="5F89AC7B" w14:textId="77777777" w:rsidR="006E44E5" w:rsidRPr="003A5F14" w:rsidRDefault="006E44E5" w:rsidP="00230B57">
            <w:pPr>
              <w:pStyle w:val="SJITableText"/>
            </w:pPr>
            <w:r w:rsidRPr="003A5F14">
              <w:t>None</w:t>
            </w:r>
          </w:p>
        </w:tc>
        <w:tc>
          <w:tcPr>
            <w:tcW w:w="2166" w:type="pct"/>
          </w:tcPr>
          <w:p w14:paraId="3FAAC1E7" w14:textId="77777777" w:rsidR="006E44E5" w:rsidRPr="003A5F14" w:rsidRDefault="006E44E5" w:rsidP="00230B57">
            <w:pPr>
              <w:pStyle w:val="SJITableText"/>
            </w:pPr>
          </w:p>
        </w:tc>
        <w:tc>
          <w:tcPr>
            <w:tcW w:w="915" w:type="pct"/>
          </w:tcPr>
          <w:p w14:paraId="14DD7EE2" w14:textId="77777777" w:rsidR="006E44E5" w:rsidRPr="003A5F14" w:rsidRDefault="006E44E5" w:rsidP="00230B57">
            <w:pPr>
              <w:pStyle w:val="SJITableText"/>
            </w:pPr>
          </w:p>
        </w:tc>
        <w:tc>
          <w:tcPr>
            <w:tcW w:w="767" w:type="pct"/>
          </w:tcPr>
          <w:p w14:paraId="10594DEA" w14:textId="77777777" w:rsidR="006E44E5" w:rsidRPr="003A5F14" w:rsidRDefault="006E44E5" w:rsidP="00230B57">
            <w:pPr>
              <w:pStyle w:val="SJITableText"/>
            </w:pPr>
          </w:p>
        </w:tc>
      </w:tr>
      <w:tr w:rsidR="006E44E5" w:rsidRPr="003A5F14" w14:paraId="462401C6" w14:textId="77777777" w:rsidTr="00F4589A">
        <w:tc>
          <w:tcPr>
            <w:tcW w:w="1152" w:type="pct"/>
          </w:tcPr>
          <w:p w14:paraId="4B93382E" w14:textId="77777777" w:rsidR="006E44E5" w:rsidRPr="003A5F14" w:rsidRDefault="006E44E5" w:rsidP="00230B57">
            <w:pPr>
              <w:pStyle w:val="SJITableText"/>
            </w:pPr>
          </w:p>
        </w:tc>
        <w:tc>
          <w:tcPr>
            <w:tcW w:w="2166" w:type="pct"/>
          </w:tcPr>
          <w:p w14:paraId="69DF2755" w14:textId="77777777" w:rsidR="006E44E5" w:rsidRPr="003A5F14" w:rsidRDefault="006E44E5" w:rsidP="00230B57">
            <w:pPr>
              <w:pStyle w:val="SJITableText"/>
            </w:pPr>
            <w:r w:rsidRPr="003A5F14">
              <w:t>Vehicular homicide</w:t>
            </w:r>
          </w:p>
        </w:tc>
        <w:tc>
          <w:tcPr>
            <w:tcW w:w="915" w:type="pct"/>
          </w:tcPr>
          <w:p w14:paraId="30F4D3ED" w14:textId="77777777" w:rsidR="006E44E5" w:rsidRPr="003A5F14" w:rsidRDefault="006E44E5" w:rsidP="00230B57">
            <w:pPr>
              <w:pStyle w:val="SJITableText"/>
            </w:pPr>
            <w:r w:rsidRPr="003A5F14">
              <w:t>782.071</w:t>
            </w:r>
          </w:p>
        </w:tc>
        <w:tc>
          <w:tcPr>
            <w:tcW w:w="767" w:type="pct"/>
          </w:tcPr>
          <w:p w14:paraId="3B730217" w14:textId="77777777" w:rsidR="006E44E5" w:rsidRPr="003A5F14" w:rsidRDefault="006E44E5" w:rsidP="00230B57">
            <w:pPr>
              <w:pStyle w:val="SJITableText"/>
            </w:pPr>
            <w:r w:rsidRPr="003A5F14">
              <w:t>7.9</w:t>
            </w:r>
          </w:p>
        </w:tc>
      </w:tr>
      <w:tr w:rsidR="006E44E5" w:rsidRPr="003A5F14" w14:paraId="5639D198" w14:textId="77777777" w:rsidTr="00F4589A">
        <w:tc>
          <w:tcPr>
            <w:tcW w:w="1152" w:type="pct"/>
          </w:tcPr>
          <w:p w14:paraId="6E64E577" w14:textId="77777777" w:rsidR="006E44E5" w:rsidRPr="003A5F14" w:rsidRDefault="006E44E5" w:rsidP="00230B57">
            <w:pPr>
              <w:pStyle w:val="SJITableText"/>
            </w:pPr>
          </w:p>
        </w:tc>
        <w:tc>
          <w:tcPr>
            <w:tcW w:w="2166" w:type="pct"/>
          </w:tcPr>
          <w:p w14:paraId="2FC3EC95" w14:textId="77777777" w:rsidR="006E44E5" w:rsidRPr="003A5F14" w:rsidRDefault="006E44E5" w:rsidP="00230B57">
            <w:pPr>
              <w:pStyle w:val="SJITableText"/>
            </w:pPr>
            <w:r w:rsidRPr="003A5F14">
              <w:t>Vessel homicide</w:t>
            </w:r>
          </w:p>
        </w:tc>
        <w:tc>
          <w:tcPr>
            <w:tcW w:w="915" w:type="pct"/>
          </w:tcPr>
          <w:p w14:paraId="0A57EEC4" w14:textId="77777777" w:rsidR="006E44E5" w:rsidRPr="003A5F14" w:rsidRDefault="006E44E5" w:rsidP="00230B57">
            <w:pPr>
              <w:pStyle w:val="SJITableText"/>
            </w:pPr>
            <w:r w:rsidRPr="003A5F14">
              <w:t>782.072</w:t>
            </w:r>
          </w:p>
        </w:tc>
        <w:tc>
          <w:tcPr>
            <w:tcW w:w="767" w:type="pct"/>
          </w:tcPr>
          <w:p w14:paraId="6A6F987D" w14:textId="77777777" w:rsidR="006E44E5" w:rsidRPr="003A5F14" w:rsidRDefault="006E44E5" w:rsidP="00230B57">
            <w:pPr>
              <w:pStyle w:val="SJITableText"/>
            </w:pPr>
            <w:r w:rsidRPr="003A5F14">
              <w:t>7.9</w:t>
            </w:r>
          </w:p>
        </w:tc>
      </w:tr>
      <w:tr w:rsidR="002A2D36" w:rsidRPr="003A5F14" w14:paraId="4BB88D61" w14:textId="77777777" w:rsidTr="00F4589A">
        <w:tc>
          <w:tcPr>
            <w:tcW w:w="1152" w:type="pct"/>
          </w:tcPr>
          <w:p w14:paraId="6F092ADB" w14:textId="77777777" w:rsidR="002A2D36" w:rsidRPr="003A5F14" w:rsidRDefault="002A2D36" w:rsidP="00230B57">
            <w:pPr>
              <w:pStyle w:val="SJITableText"/>
            </w:pPr>
          </w:p>
        </w:tc>
        <w:tc>
          <w:tcPr>
            <w:tcW w:w="2166" w:type="pct"/>
          </w:tcPr>
          <w:p w14:paraId="4DBE0334" w14:textId="32411A18" w:rsidR="002A2D36" w:rsidRPr="003A5F14" w:rsidRDefault="002A2D36" w:rsidP="00230B57">
            <w:pPr>
              <w:pStyle w:val="SJITableText"/>
            </w:pPr>
            <w:r w:rsidRPr="003A5F14">
              <w:t>Third Degree Felony Murder</w:t>
            </w:r>
          </w:p>
        </w:tc>
        <w:tc>
          <w:tcPr>
            <w:tcW w:w="915" w:type="pct"/>
          </w:tcPr>
          <w:p w14:paraId="0D8DAE3F" w14:textId="5AC84762" w:rsidR="002A2D36" w:rsidRPr="003A5F14" w:rsidRDefault="002A2D36" w:rsidP="00230B57">
            <w:pPr>
              <w:pStyle w:val="SJITableText"/>
            </w:pPr>
            <w:r w:rsidRPr="003A5F14">
              <w:t>782.04(4)</w:t>
            </w:r>
          </w:p>
        </w:tc>
        <w:tc>
          <w:tcPr>
            <w:tcW w:w="767" w:type="pct"/>
          </w:tcPr>
          <w:p w14:paraId="0F625DE3" w14:textId="55B8A84A" w:rsidR="002A2D36" w:rsidRPr="003A5F14" w:rsidRDefault="002A2D36" w:rsidP="00230B57">
            <w:pPr>
              <w:pStyle w:val="SJITableText"/>
            </w:pPr>
            <w:r w:rsidRPr="003A5F14">
              <w:t>7.6</w:t>
            </w:r>
          </w:p>
        </w:tc>
      </w:tr>
      <w:tr w:rsidR="002A2D36" w:rsidRPr="003A5F14" w14:paraId="21873A25" w14:textId="77777777" w:rsidTr="00F4589A">
        <w:tc>
          <w:tcPr>
            <w:tcW w:w="1152" w:type="pct"/>
          </w:tcPr>
          <w:p w14:paraId="202FDA6C" w14:textId="77777777" w:rsidR="002A2D36" w:rsidRPr="003A5F14" w:rsidRDefault="002A2D36" w:rsidP="00230B57">
            <w:pPr>
              <w:pStyle w:val="SJITableText"/>
            </w:pPr>
          </w:p>
        </w:tc>
        <w:tc>
          <w:tcPr>
            <w:tcW w:w="2166" w:type="pct"/>
          </w:tcPr>
          <w:p w14:paraId="66DB34DA" w14:textId="19E860A9" w:rsidR="002A2D36" w:rsidRPr="003A5F14" w:rsidRDefault="002A2D36" w:rsidP="00230B57">
            <w:pPr>
              <w:pStyle w:val="SJITableText"/>
            </w:pPr>
            <w:r w:rsidRPr="003A5F14">
              <w:t>Death Caused by the Unlawful Distribution by a Person Less than 18 Years of Age of [Name of Enumerated Controlled Substance(s))</w:t>
            </w:r>
          </w:p>
        </w:tc>
        <w:tc>
          <w:tcPr>
            <w:tcW w:w="915" w:type="pct"/>
          </w:tcPr>
          <w:p w14:paraId="02878450" w14:textId="11557C20" w:rsidR="002A2D36" w:rsidRPr="003A5F14" w:rsidRDefault="002A2D36" w:rsidP="00230B57">
            <w:pPr>
              <w:pStyle w:val="SJITableText"/>
            </w:pPr>
            <w:r w:rsidRPr="003A5F14">
              <w:t>782.04(5)(b)</w:t>
            </w:r>
          </w:p>
        </w:tc>
        <w:tc>
          <w:tcPr>
            <w:tcW w:w="767" w:type="pct"/>
          </w:tcPr>
          <w:p w14:paraId="23EBA0DE" w14:textId="2F255F32" w:rsidR="002A2D36" w:rsidRPr="003A5F14" w:rsidRDefault="002A2D36" w:rsidP="00230B57">
            <w:pPr>
              <w:pStyle w:val="SJITableText"/>
            </w:pPr>
            <w:r w:rsidRPr="003A5F14">
              <w:t>7.3(b)</w:t>
            </w:r>
          </w:p>
        </w:tc>
      </w:tr>
      <w:tr w:rsidR="007F7AC2" w:rsidRPr="003A5F14" w14:paraId="1F6426A6" w14:textId="77777777" w:rsidTr="00F4589A">
        <w:tc>
          <w:tcPr>
            <w:tcW w:w="1152" w:type="pct"/>
          </w:tcPr>
          <w:p w14:paraId="0E56825C" w14:textId="77777777" w:rsidR="007F7AC2" w:rsidRPr="003A5F14" w:rsidRDefault="007F7AC2" w:rsidP="00230B57">
            <w:pPr>
              <w:pStyle w:val="SJITableText"/>
            </w:pPr>
          </w:p>
        </w:tc>
        <w:tc>
          <w:tcPr>
            <w:tcW w:w="2166" w:type="pct"/>
          </w:tcPr>
          <w:p w14:paraId="27D3C5E3" w14:textId="21DAC59D" w:rsidR="007F7AC2" w:rsidRPr="003A5F14" w:rsidRDefault="007F7AC2" w:rsidP="00230B57">
            <w:pPr>
              <w:pStyle w:val="SJITableText"/>
            </w:pPr>
            <w:r w:rsidRPr="003A5F14">
              <w:t xml:space="preserve">Non-homicide </w:t>
            </w:r>
            <w:proofErr w:type="spellStart"/>
            <w:r w:rsidRPr="003A5F14">
              <w:t>lessers</w:t>
            </w:r>
            <w:proofErr w:type="spellEnd"/>
            <w:r w:rsidRPr="003A5F14">
              <w:t>*</w:t>
            </w:r>
          </w:p>
        </w:tc>
        <w:tc>
          <w:tcPr>
            <w:tcW w:w="915" w:type="pct"/>
          </w:tcPr>
          <w:p w14:paraId="025B4D5E" w14:textId="77777777" w:rsidR="007F7AC2" w:rsidRPr="003A5F14" w:rsidRDefault="007F7AC2" w:rsidP="00230B57">
            <w:pPr>
              <w:pStyle w:val="SJITableText"/>
            </w:pPr>
          </w:p>
        </w:tc>
        <w:tc>
          <w:tcPr>
            <w:tcW w:w="767" w:type="pct"/>
          </w:tcPr>
          <w:p w14:paraId="03B3AF99" w14:textId="77777777" w:rsidR="007F7AC2" w:rsidRPr="003A5F14" w:rsidRDefault="007F7AC2" w:rsidP="00230B57">
            <w:pPr>
              <w:pStyle w:val="SJITableText"/>
            </w:pPr>
          </w:p>
        </w:tc>
      </w:tr>
      <w:tr w:rsidR="006E44E5" w:rsidRPr="003A5F14" w14:paraId="4FB79A20" w14:textId="77777777" w:rsidTr="00F4589A">
        <w:tc>
          <w:tcPr>
            <w:tcW w:w="1152" w:type="pct"/>
          </w:tcPr>
          <w:p w14:paraId="032A9A6D" w14:textId="77777777" w:rsidR="006E44E5" w:rsidRPr="003A5F14" w:rsidRDefault="006E44E5" w:rsidP="00230B57">
            <w:pPr>
              <w:pStyle w:val="SJITableText"/>
            </w:pPr>
          </w:p>
        </w:tc>
        <w:tc>
          <w:tcPr>
            <w:tcW w:w="2166" w:type="pct"/>
          </w:tcPr>
          <w:p w14:paraId="1472F1C9" w14:textId="7006451E" w:rsidR="006E44E5" w:rsidRPr="003A5F14" w:rsidRDefault="006E44E5" w:rsidP="00230B57">
            <w:pPr>
              <w:pStyle w:val="SJITableText"/>
            </w:pPr>
            <w:r w:rsidRPr="003A5F14">
              <w:t>Attempt</w:t>
            </w:r>
            <w:r w:rsidR="007F7AC2" w:rsidRPr="003A5F14">
              <w:t>**</w:t>
            </w:r>
          </w:p>
        </w:tc>
        <w:tc>
          <w:tcPr>
            <w:tcW w:w="915" w:type="pct"/>
          </w:tcPr>
          <w:p w14:paraId="18B2699E" w14:textId="77777777" w:rsidR="006E44E5" w:rsidRPr="003A5F14" w:rsidRDefault="006E44E5" w:rsidP="00230B57">
            <w:pPr>
              <w:pStyle w:val="SJITableText"/>
            </w:pPr>
            <w:r w:rsidRPr="003A5F14">
              <w:t>777.04(1)</w:t>
            </w:r>
          </w:p>
        </w:tc>
        <w:tc>
          <w:tcPr>
            <w:tcW w:w="767" w:type="pct"/>
          </w:tcPr>
          <w:p w14:paraId="0F8A825B" w14:textId="77777777" w:rsidR="006E44E5" w:rsidRPr="003A5F14" w:rsidRDefault="006E44E5" w:rsidP="00230B57">
            <w:pPr>
              <w:pStyle w:val="SJITableText"/>
            </w:pPr>
            <w:r w:rsidRPr="003A5F14">
              <w:t>5.1</w:t>
            </w:r>
          </w:p>
        </w:tc>
      </w:tr>
      <w:tr w:rsidR="006E44E5" w:rsidRPr="003A5F14" w14:paraId="31B0D3DD" w14:textId="77777777" w:rsidTr="00F4589A">
        <w:trPr>
          <w:trHeight w:val="260"/>
        </w:trPr>
        <w:tc>
          <w:tcPr>
            <w:tcW w:w="1152" w:type="pct"/>
          </w:tcPr>
          <w:p w14:paraId="51A098E3" w14:textId="77777777" w:rsidR="006E44E5" w:rsidRPr="003A5F14" w:rsidRDefault="006E44E5" w:rsidP="00230B57">
            <w:pPr>
              <w:pStyle w:val="SJITableText"/>
            </w:pPr>
          </w:p>
        </w:tc>
        <w:tc>
          <w:tcPr>
            <w:tcW w:w="2166" w:type="pct"/>
          </w:tcPr>
          <w:p w14:paraId="19161F73" w14:textId="77777777" w:rsidR="006E44E5" w:rsidRPr="003A5F14" w:rsidRDefault="006E44E5" w:rsidP="00230B57">
            <w:pPr>
              <w:pStyle w:val="SJITableText"/>
            </w:pPr>
            <w:r w:rsidRPr="003A5F14">
              <w:t>Aggravated assault</w:t>
            </w:r>
          </w:p>
        </w:tc>
        <w:tc>
          <w:tcPr>
            <w:tcW w:w="915" w:type="pct"/>
          </w:tcPr>
          <w:p w14:paraId="00C1303C" w14:textId="77777777" w:rsidR="006E44E5" w:rsidRPr="003A5F14" w:rsidRDefault="006E44E5" w:rsidP="00230B57">
            <w:pPr>
              <w:pStyle w:val="SJITableText"/>
            </w:pPr>
            <w:r w:rsidRPr="003A5F14">
              <w:t>784.021</w:t>
            </w:r>
          </w:p>
        </w:tc>
        <w:tc>
          <w:tcPr>
            <w:tcW w:w="767" w:type="pct"/>
          </w:tcPr>
          <w:p w14:paraId="0E641CC8" w14:textId="77777777" w:rsidR="006E44E5" w:rsidRPr="003A5F14" w:rsidRDefault="006E44E5" w:rsidP="00230B57">
            <w:pPr>
              <w:pStyle w:val="SJITableText"/>
            </w:pPr>
            <w:r w:rsidRPr="003A5F14">
              <w:t>8.2</w:t>
            </w:r>
          </w:p>
        </w:tc>
      </w:tr>
      <w:tr w:rsidR="006E44E5" w:rsidRPr="003A5F14" w14:paraId="69720D02" w14:textId="77777777" w:rsidTr="00F4589A">
        <w:tc>
          <w:tcPr>
            <w:tcW w:w="1152" w:type="pct"/>
          </w:tcPr>
          <w:p w14:paraId="67BC94E5" w14:textId="77777777" w:rsidR="006E44E5" w:rsidRPr="003A5F14" w:rsidRDefault="006E44E5" w:rsidP="00230B57">
            <w:pPr>
              <w:pStyle w:val="SJITableText"/>
            </w:pPr>
          </w:p>
        </w:tc>
        <w:tc>
          <w:tcPr>
            <w:tcW w:w="2166" w:type="pct"/>
          </w:tcPr>
          <w:p w14:paraId="48A901F3" w14:textId="61BE09B0" w:rsidR="006E44E5" w:rsidRPr="003A5F14" w:rsidRDefault="006E44E5" w:rsidP="00230B57">
            <w:pPr>
              <w:pStyle w:val="SJITableText"/>
            </w:pPr>
            <w:r w:rsidRPr="003A5F14">
              <w:t>Battery</w:t>
            </w:r>
          </w:p>
        </w:tc>
        <w:tc>
          <w:tcPr>
            <w:tcW w:w="915" w:type="pct"/>
          </w:tcPr>
          <w:p w14:paraId="16BCA6E4" w14:textId="77777777" w:rsidR="006E44E5" w:rsidRPr="003A5F14" w:rsidRDefault="006E44E5" w:rsidP="00230B57">
            <w:pPr>
              <w:pStyle w:val="SJITableText"/>
            </w:pPr>
            <w:r w:rsidRPr="003A5F14">
              <w:t>784.03</w:t>
            </w:r>
          </w:p>
        </w:tc>
        <w:tc>
          <w:tcPr>
            <w:tcW w:w="767" w:type="pct"/>
          </w:tcPr>
          <w:p w14:paraId="5E5B239C" w14:textId="77777777" w:rsidR="006E44E5" w:rsidRPr="003A5F14" w:rsidRDefault="006E44E5" w:rsidP="00230B57">
            <w:pPr>
              <w:pStyle w:val="SJITableText"/>
            </w:pPr>
            <w:r w:rsidRPr="003A5F14">
              <w:t>8.3</w:t>
            </w:r>
          </w:p>
        </w:tc>
      </w:tr>
      <w:tr w:rsidR="006E44E5" w:rsidRPr="003A5F14" w14:paraId="5DD8A9F2" w14:textId="77777777" w:rsidTr="00F4589A">
        <w:tc>
          <w:tcPr>
            <w:tcW w:w="1152" w:type="pct"/>
          </w:tcPr>
          <w:p w14:paraId="5769F0CC" w14:textId="77777777" w:rsidR="006E44E5" w:rsidRPr="003A5F14" w:rsidRDefault="006E44E5" w:rsidP="00230B57">
            <w:pPr>
              <w:pStyle w:val="SJITableText"/>
            </w:pPr>
          </w:p>
        </w:tc>
        <w:tc>
          <w:tcPr>
            <w:tcW w:w="2166" w:type="pct"/>
          </w:tcPr>
          <w:p w14:paraId="1647B19B" w14:textId="77777777" w:rsidR="006E44E5" w:rsidRPr="003A5F14" w:rsidRDefault="006E44E5" w:rsidP="00230B57">
            <w:pPr>
              <w:pStyle w:val="SJITableText"/>
            </w:pPr>
            <w:r w:rsidRPr="003A5F14">
              <w:t>Assault</w:t>
            </w:r>
          </w:p>
        </w:tc>
        <w:tc>
          <w:tcPr>
            <w:tcW w:w="915" w:type="pct"/>
          </w:tcPr>
          <w:p w14:paraId="57754593" w14:textId="77777777" w:rsidR="006E44E5" w:rsidRPr="003A5F14" w:rsidRDefault="006E44E5" w:rsidP="00230B57">
            <w:pPr>
              <w:pStyle w:val="SJITableText"/>
            </w:pPr>
            <w:r w:rsidRPr="003A5F14">
              <w:t>784.011</w:t>
            </w:r>
          </w:p>
        </w:tc>
        <w:tc>
          <w:tcPr>
            <w:tcW w:w="767" w:type="pct"/>
          </w:tcPr>
          <w:p w14:paraId="48FAF011" w14:textId="77777777" w:rsidR="006E44E5" w:rsidRPr="003A5F14" w:rsidRDefault="006E44E5" w:rsidP="00230B57">
            <w:pPr>
              <w:pStyle w:val="SJITableText"/>
            </w:pPr>
            <w:r w:rsidRPr="003A5F14">
              <w:t>8.1</w:t>
            </w:r>
          </w:p>
        </w:tc>
      </w:tr>
      <w:tr w:rsidR="006E44E5" w:rsidRPr="003A5F14" w14:paraId="020362D4" w14:textId="77777777" w:rsidTr="00F4589A">
        <w:tc>
          <w:tcPr>
            <w:tcW w:w="1152" w:type="pct"/>
          </w:tcPr>
          <w:p w14:paraId="5BFC86B9" w14:textId="77777777" w:rsidR="006E44E5" w:rsidRPr="003A5F14" w:rsidRDefault="006E44E5" w:rsidP="00230B57">
            <w:pPr>
              <w:pStyle w:val="SJITableText"/>
            </w:pPr>
          </w:p>
        </w:tc>
        <w:tc>
          <w:tcPr>
            <w:tcW w:w="2166" w:type="pct"/>
          </w:tcPr>
          <w:p w14:paraId="01C950EF" w14:textId="77777777" w:rsidR="006E44E5" w:rsidRPr="003A5F14" w:rsidRDefault="006E44E5" w:rsidP="00230B57">
            <w:pPr>
              <w:pStyle w:val="SJITableText"/>
            </w:pPr>
            <w:r w:rsidRPr="003A5F14">
              <w:t>Culpable negligence</w:t>
            </w:r>
          </w:p>
        </w:tc>
        <w:tc>
          <w:tcPr>
            <w:tcW w:w="915" w:type="pct"/>
          </w:tcPr>
          <w:p w14:paraId="23329F9E" w14:textId="77777777" w:rsidR="006E44E5" w:rsidRPr="003A5F14" w:rsidRDefault="006E44E5" w:rsidP="00230B57">
            <w:pPr>
              <w:pStyle w:val="SJITableText"/>
            </w:pPr>
            <w:r w:rsidRPr="003A5F14">
              <w:t>784.05</w:t>
            </w:r>
          </w:p>
        </w:tc>
        <w:tc>
          <w:tcPr>
            <w:tcW w:w="767" w:type="pct"/>
          </w:tcPr>
          <w:p w14:paraId="68222C1E" w14:textId="77777777" w:rsidR="006E44E5" w:rsidRPr="003A5F14" w:rsidRDefault="006E44E5" w:rsidP="00230B57">
            <w:pPr>
              <w:pStyle w:val="SJITableText"/>
            </w:pPr>
            <w:r w:rsidRPr="003A5F14">
              <w:t>8.9</w:t>
            </w:r>
          </w:p>
        </w:tc>
      </w:tr>
    </w:tbl>
    <w:p w14:paraId="56F31005" w14:textId="77777777" w:rsidR="006E44E5" w:rsidRPr="00CE2714" w:rsidRDefault="006E44E5" w:rsidP="006E44E5">
      <w:pPr>
        <w:pStyle w:val="SJIComments"/>
      </w:pPr>
      <w:r w:rsidRPr="00CE2714">
        <w:t>Comments</w:t>
      </w:r>
    </w:p>
    <w:p w14:paraId="26A948F8" w14:textId="77777777" w:rsidR="003A5F14" w:rsidRDefault="006E44E5" w:rsidP="003A5F14">
      <w:pPr>
        <w:autoSpaceDE w:val="0"/>
        <w:autoSpaceDN w:val="0"/>
        <w:adjustRightInd w:val="0"/>
      </w:pPr>
      <w:r w:rsidRPr="00CE2714">
        <w:t xml:space="preserve">*Non-homicide lesser-included offenses do not have to be given if the parties agree that causation is not in dispute and </w:t>
      </w:r>
      <w:r w:rsidRPr="00CA7198">
        <w:t>that</w:t>
      </w:r>
      <w:r w:rsidRPr="00CE2714">
        <w:t xml:space="preserve"> the victim is dead.</w:t>
      </w:r>
      <w:r w:rsidR="003A5F14" w:rsidRPr="003A5F14">
        <w:rPr>
          <w:i/>
          <w:iCs/>
        </w:rPr>
        <w:t xml:space="preserve"> </w:t>
      </w:r>
      <w:r w:rsidR="003A5F14" w:rsidRPr="0090072C">
        <w:rPr>
          <w:i/>
          <w:iCs/>
        </w:rPr>
        <w:t>Carver v. State</w:t>
      </w:r>
      <w:r w:rsidR="003A5F14">
        <w:t xml:space="preserve">, 348 So. 3d 1214 (Fla. 5th DCA 2022). </w:t>
      </w:r>
      <w:r w:rsidR="003A5F14" w:rsidRPr="00CE2714">
        <w:rPr>
          <w:i/>
        </w:rPr>
        <w:t>See Eversley v. State</w:t>
      </w:r>
      <w:r w:rsidR="003A5F14" w:rsidRPr="00CE2714">
        <w:t>, 748 So. 2d 963 (Fla. 1999), in any case in which causation is an issue to determine if a special jury instruction on causation is needed.</w:t>
      </w:r>
    </w:p>
    <w:p w14:paraId="52B71031" w14:textId="636A755F" w:rsidR="00573138" w:rsidRPr="003A5F14" w:rsidRDefault="007F7AC2" w:rsidP="006E44E5">
      <w:pPr>
        <w:autoSpaceDE w:val="0"/>
        <w:autoSpaceDN w:val="0"/>
        <w:adjustRightInd w:val="0"/>
      </w:pPr>
      <w:r w:rsidRPr="003A5F14">
        <w:t xml:space="preserve">**Attempted Manslaughter by Culpable Negligence does not exist. </w:t>
      </w:r>
      <w:r w:rsidRPr="003A5F14">
        <w:rPr>
          <w:i/>
          <w:iCs/>
        </w:rPr>
        <w:t xml:space="preserve">See Taylor v. State, </w:t>
      </w:r>
      <w:r w:rsidRPr="003A5F14">
        <w:t xml:space="preserve">444 So. 2d 931 (Fla. 1983). </w:t>
      </w:r>
    </w:p>
    <w:p w14:paraId="1A43886B" w14:textId="538A4543" w:rsidR="006E44E5" w:rsidRPr="00CE2714" w:rsidRDefault="006E44E5" w:rsidP="006E44E5">
      <w:pPr>
        <w:autoSpaceDE w:val="0"/>
        <w:autoSpaceDN w:val="0"/>
        <w:adjustRightInd w:val="0"/>
      </w:pPr>
      <w:r w:rsidRPr="00CE2714">
        <w:t xml:space="preserve">In the event of any reinstruction on </w:t>
      </w:r>
      <w:r w:rsidR="00573138">
        <w:t>M</w:t>
      </w:r>
      <w:r w:rsidRPr="00CE2714">
        <w:t xml:space="preserve">anslaughter, the instructions on justifiable and excusable homicide </w:t>
      </w:r>
      <w:r w:rsidR="003658EC" w:rsidRPr="003A5F14">
        <w:t xml:space="preserve">(instruction #7.1) </w:t>
      </w:r>
      <w:r w:rsidRPr="003A5F14">
        <w:t xml:space="preserve">as </w:t>
      </w:r>
      <w:r w:rsidRPr="00CE2714">
        <w:t xml:space="preserve">previously given should be given at the same time. </w:t>
      </w:r>
      <w:r w:rsidRPr="00CE2714">
        <w:rPr>
          <w:i/>
        </w:rPr>
        <w:t>Hedges v. State</w:t>
      </w:r>
      <w:r w:rsidRPr="00CE2714">
        <w:t>, 172 So. 2d 824 (Fla. 1965).</w:t>
      </w:r>
    </w:p>
    <w:p w14:paraId="04B41BB9" w14:textId="13713E45" w:rsidR="009435D1" w:rsidRPr="006E44E5" w:rsidRDefault="006E44E5" w:rsidP="006E44E5">
      <w:r w:rsidRPr="00CE2714">
        <w:t>This instruction was adopted in 1981 and amended in 1985 [477 So. 2d 985], 1992 [603 So. 2d 1175], 1994 [636 So. 2d 502], 2005 [911 So. 2d 1220], 2006 [946 So. 2d 1061], 2008 [997 So. 2d 403], 2010 [41 So. 3d 853], 2011 [75 So. 3d 210], 20</w:t>
      </w:r>
      <w:r>
        <w:t>17 [213 So. 3d 680], 2018</w:t>
      </w:r>
      <w:r w:rsidR="002A2D36">
        <w:t xml:space="preserve"> </w:t>
      </w:r>
      <w:r w:rsidR="002A2D36" w:rsidRPr="003A5F14">
        <w:t xml:space="preserve">[236 So. 3d 282], and on </w:t>
      </w:r>
      <w:r w:rsidR="003A5F14" w:rsidRPr="003A5F14">
        <w:t xml:space="preserve">September 12, </w:t>
      </w:r>
      <w:r w:rsidR="002A2D36" w:rsidRPr="003A5F14">
        <w:t>2025.</w:t>
      </w:r>
      <w:r w:rsidR="002A2D36">
        <w:rPr>
          <w:u w:val="single"/>
        </w:rPr>
        <w:t xml:space="preserve"> </w:t>
      </w:r>
    </w:p>
    <w:sectPr w:rsidR="009435D1" w:rsidRPr="006E4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040982836">
    <w:abstractNumId w:val="1"/>
  </w:num>
  <w:num w:numId="2" w16cid:durableId="1155336526">
    <w:abstractNumId w:val="0"/>
  </w:num>
  <w:num w:numId="3" w16cid:durableId="548494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14"/>
    <w:rsid w:val="000239AC"/>
    <w:rsid w:val="0008237A"/>
    <w:rsid w:val="00094F56"/>
    <w:rsid w:val="001C3BE6"/>
    <w:rsid w:val="00276059"/>
    <w:rsid w:val="002802D1"/>
    <w:rsid w:val="002A2D36"/>
    <w:rsid w:val="003658EC"/>
    <w:rsid w:val="00385472"/>
    <w:rsid w:val="003A5F14"/>
    <w:rsid w:val="003E05DE"/>
    <w:rsid w:val="0049648B"/>
    <w:rsid w:val="00535FEC"/>
    <w:rsid w:val="00573138"/>
    <w:rsid w:val="005924F5"/>
    <w:rsid w:val="006E44E5"/>
    <w:rsid w:val="00761795"/>
    <w:rsid w:val="007B0136"/>
    <w:rsid w:val="007D1EBA"/>
    <w:rsid w:val="007F7AC2"/>
    <w:rsid w:val="00847020"/>
    <w:rsid w:val="00912AE6"/>
    <w:rsid w:val="009435D1"/>
    <w:rsid w:val="00AA2E97"/>
    <w:rsid w:val="00AB6CFA"/>
    <w:rsid w:val="00AD1ED7"/>
    <w:rsid w:val="00AD3978"/>
    <w:rsid w:val="00B12DDF"/>
    <w:rsid w:val="00BC4402"/>
    <w:rsid w:val="00BE5514"/>
    <w:rsid w:val="00C018BB"/>
    <w:rsid w:val="00C84E57"/>
    <w:rsid w:val="00CA7198"/>
    <w:rsid w:val="00CE2714"/>
    <w:rsid w:val="00DD078E"/>
    <w:rsid w:val="00DF5814"/>
    <w:rsid w:val="00E45C9B"/>
    <w:rsid w:val="00F4589A"/>
    <w:rsid w:val="00FC7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7B7724"/>
  <w14:defaultImageDpi w14:val="0"/>
  <w15:docId w15:val="{1CE93FF3-928D-4EB6-9357-26374A3D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14"/>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BE5514"/>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BE5514"/>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BE5514"/>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BE5514"/>
    <w:pPr>
      <w:outlineLvl w:val="3"/>
    </w:pPr>
  </w:style>
  <w:style w:type="paragraph" w:styleId="Heading5">
    <w:name w:val="heading 5"/>
    <w:basedOn w:val="Normal"/>
    <w:next w:val="Normal"/>
    <w:link w:val="Heading5Char"/>
    <w:uiPriority w:val="9"/>
    <w:qFormat/>
    <w:rsid w:val="00BE5514"/>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BE5514"/>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BE5514"/>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BE5514"/>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BE5514"/>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E5514"/>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BE5514"/>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BE5514"/>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BE5514"/>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BE5514"/>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BE5514"/>
    <w:rPr>
      <w:rFonts w:ascii="Times New Roman" w:hAnsi="Times New Roman" w:cs="Times New Roman"/>
      <w:b/>
      <w:bCs/>
    </w:rPr>
  </w:style>
  <w:style w:type="character" w:customStyle="1" w:styleId="Heading7Char">
    <w:name w:val="Heading 7 Char"/>
    <w:basedOn w:val="DefaultParagraphFont"/>
    <w:link w:val="Heading7"/>
    <w:uiPriority w:val="9"/>
    <w:locked/>
    <w:rsid w:val="00BE5514"/>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BE5514"/>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BE5514"/>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BE5514"/>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BE5514"/>
    <w:pPr>
      <w:tabs>
        <w:tab w:val="left" w:pos="720"/>
      </w:tabs>
      <w:suppressAutoHyphens/>
      <w:spacing w:after="0"/>
    </w:pPr>
    <w:rPr>
      <w:rFonts w:cs="Times New Roman"/>
      <w:i/>
      <w:iCs/>
      <w:szCs w:val="24"/>
    </w:rPr>
  </w:style>
  <w:style w:type="paragraph" w:customStyle="1" w:styleId="SJITableText">
    <w:name w:val="SJI Table Text"/>
    <w:basedOn w:val="Normal"/>
    <w:qFormat/>
    <w:rsid w:val="00BE5514"/>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BE5514"/>
    <w:pPr>
      <w:spacing w:before="220"/>
      <w:ind w:firstLine="0"/>
      <w:jc w:val="center"/>
    </w:pPr>
    <w:rPr>
      <w:rFonts w:cs="Courier New"/>
      <w:b/>
    </w:rPr>
  </w:style>
  <w:style w:type="table" w:customStyle="1" w:styleId="TableGrid1">
    <w:name w:val="Table Grid1"/>
    <w:basedOn w:val="TableNormal"/>
    <w:next w:val="TableGrid"/>
    <w:uiPriority w:val="99"/>
    <w:rsid w:val="00BE5514"/>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BE5514"/>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BE5514"/>
    <w:pPr>
      <w:widowControl w:val="0"/>
      <w:autoSpaceDE w:val="0"/>
      <w:autoSpaceDN w:val="0"/>
      <w:adjustRightInd w:val="0"/>
      <w:ind w:left="1296" w:hanging="576"/>
    </w:pPr>
    <w:rPr>
      <w:rFonts w:cs="Times New Roman"/>
    </w:rPr>
  </w:style>
  <w:style w:type="character" w:customStyle="1" w:styleId="SJIBold">
    <w:name w:val="SJI Bold"/>
    <w:uiPriority w:val="1"/>
    <w:qFormat/>
    <w:rsid w:val="00BE5514"/>
    <w:rPr>
      <w:b/>
    </w:rPr>
  </w:style>
  <w:style w:type="paragraph" w:customStyle="1" w:styleId="SJIText">
    <w:name w:val="SJI Text"/>
    <w:basedOn w:val="Normal"/>
    <w:next w:val="Normal"/>
    <w:qFormat/>
    <w:rsid w:val="00BE5514"/>
    <w:rPr>
      <w:rFonts w:cs="Times New Roman"/>
    </w:rPr>
  </w:style>
  <w:style w:type="paragraph" w:customStyle="1" w:styleId="SJITableTitle">
    <w:name w:val="SJI Table Title"/>
    <w:basedOn w:val="Normal"/>
    <w:qFormat/>
    <w:rsid w:val="00BE5514"/>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BE5514"/>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BE5514"/>
    <w:pPr>
      <w:numPr>
        <w:numId w:val="3"/>
      </w:numPr>
    </w:pPr>
    <w:rPr>
      <w:rFonts w:cs="Times New Roman"/>
    </w:rPr>
  </w:style>
  <w:style w:type="paragraph" w:styleId="ListParagraph">
    <w:name w:val="List Paragraph"/>
    <w:basedOn w:val="Normal"/>
    <w:uiPriority w:val="34"/>
    <w:qFormat/>
    <w:rsid w:val="00BE5514"/>
    <w:pPr>
      <w:ind w:left="720"/>
    </w:pPr>
  </w:style>
  <w:style w:type="paragraph" w:customStyle="1" w:styleId="SJITableNotation">
    <w:name w:val="SJI Table Notation"/>
    <w:basedOn w:val="SJITableText"/>
    <w:qFormat/>
    <w:rsid w:val="00BE5514"/>
    <w:pPr>
      <w:spacing w:before="120" w:after="240"/>
    </w:pPr>
  </w:style>
  <w:style w:type="character" w:customStyle="1" w:styleId="SJIUnderline">
    <w:name w:val="SJI Underline"/>
    <w:uiPriority w:val="1"/>
    <w:qFormat/>
    <w:rsid w:val="00BE5514"/>
    <w:rPr>
      <w:rFonts w:ascii="Times New Roman" w:hAnsi="Times New Roman"/>
      <w:sz w:val="28"/>
      <w:u w:val="single"/>
    </w:rPr>
  </w:style>
  <w:style w:type="paragraph" w:styleId="Caption">
    <w:name w:val="caption"/>
    <w:basedOn w:val="Normal"/>
    <w:next w:val="Normal"/>
    <w:uiPriority w:val="35"/>
    <w:semiHidden/>
    <w:unhideWhenUsed/>
    <w:qFormat/>
    <w:rsid w:val="00BE5514"/>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BE5514"/>
    <w:pPr>
      <w:jc w:val="center"/>
    </w:pPr>
    <w:rPr>
      <w:rFonts w:cs="Times New Roman"/>
      <w:b/>
      <w:bCs/>
      <w:sz w:val="28"/>
      <w:szCs w:val="28"/>
    </w:rPr>
  </w:style>
  <w:style w:type="character" w:customStyle="1" w:styleId="TitleChar">
    <w:name w:val="Title Char"/>
    <w:basedOn w:val="DefaultParagraphFont"/>
    <w:link w:val="Title"/>
    <w:uiPriority w:val="10"/>
    <w:locked/>
    <w:rsid w:val="00BE5514"/>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BE5514"/>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BE5514"/>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BE5514"/>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BE5514"/>
    <w:rPr>
      <w:rFonts w:ascii="Bookman Old Style" w:hAnsi="Bookman Old Style" w:cs="Times New Roman"/>
      <w:color w:val="000000"/>
    </w:rPr>
  </w:style>
  <w:style w:type="paragraph" w:styleId="Quote">
    <w:name w:val="Quote"/>
    <w:basedOn w:val="Normal"/>
    <w:next w:val="Normal"/>
    <w:link w:val="QuoteChar"/>
    <w:uiPriority w:val="29"/>
    <w:qFormat/>
    <w:rsid w:val="00BE5514"/>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BE5514"/>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BE5514"/>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BE5514"/>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BE5514"/>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631</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2025-09-17T17:13:00Z</dcterms:created>
  <dcterms:modified xsi:type="dcterms:W3CDTF">2025-09-17T18:00:00Z</dcterms:modified>
</cp:coreProperties>
</file>