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E05D" w14:textId="77777777" w:rsidR="00F22396" w:rsidRPr="00097777" w:rsidRDefault="00F22396" w:rsidP="0030241F">
      <w:pPr>
        <w:pStyle w:val="Heading3"/>
      </w:pPr>
      <w:bookmarkStart w:id="0" w:name="_Toc109650915"/>
      <w:bookmarkStart w:id="1" w:name="_Toc110240224"/>
      <w:bookmarkStart w:id="2" w:name="_Toc110933968"/>
      <w:r w:rsidRPr="00097777">
        <w:t>28.11(</w:t>
      </w:r>
      <w:r w:rsidRPr="00097777">
        <w:rPr>
          <w:caps w:val="0"/>
        </w:rPr>
        <w:t>b</w:t>
      </w:r>
      <w:r w:rsidRPr="00097777">
        <w:t>) DRIVING A COMMERCIAL MOTOR VEHICLE WHILE [[DRIVER LICENSE] [DRIVING PRIVILEGE] [CANCELED] [SUSPENDED] [REVOKED] [DISQUALIFIED]] [UNDER SUSPENSION OR REVOCATION EQUIVALENT STATUS]</w:t>
      </w:r>
      <w:bookmarkEnd w:id="0"/>
      <w:bookmarkEnd w:id="1"/>
      <w:bookmarkEnd w:id="2"/>
    </w:p>
    <w:p w14:paraId="1D3210FA" w14:textId="77777777" w:rsidR="00F22396" w:rsidRPr="00097777" w:rsidRDefault="00F22396" w:rsidP="00F22396">
      <w:pPr>
        <w:pStyle w:val="SJIStatuteinTitle"/>
      </w:pPr>
      <w:r w:rsidRPr="00097777">
        <w:t>§ 322.34(7), Fla. Stat.</w:t>
      </w:r>
    </w:p>
    <w:p w14:paraId="24C1FB59" w14:textId="77777777" w:rsidR="00F22396" w:rsidRPr="00097777" w:rsidRDefault="00F22396" w:rsidP="00F22396">
      <w:pPr>
        <w:autoSpaceDE w:val="0"/>
        <w:autoSpaceDN w:val="0"/>
        <w:adjustRightInd w:val="0"/>
        <w:rPr>
          <w:b/>
          <w:color w:val="000000"/>
        </w:rPr>
      </w:pPr>
      <w:r w:rsidRPr="00097777">
        <w:rPr>
          <w:b/>
          <w:color w:val="000000"/>
        </w:rPr>
        <w:t>To prove the crime of Driving a Commercial Motor Vehicle While [[Driver License] [Driving Privilege] [Canceled] [Suspended] [Revoked] [Disqualified]] [Under Suspension or Revocation Equivalent Status], the State must prove the following two elements beyond a reasonable doubt:</w:t>
      </w:r>
    </w:p>
    <w:p w14:paraId="40D44579" w14:textId="77777777" w:rsidR="00F22396" w:rsidRDefault="00F22396" w:rsidP="00737B16">
      <w:pPr>
        <w:pStyle w:val="ListParagraph"/>
        <w:numPr>
          <w:ilvl w:val="0"/>
          <w:numId w:val="2"/>
        </w:numPr>
        <w:ind w:left="1152" w:hanging="576"/>
      </w:pPr>
      <w:r w:rsidRPr="00097777">
        <w:t xml:space="preserve">(Defendant) </w:t>
      </w:r>
      <w:r w:rsidRPr="000C52B3">
        <w:rPr>
          <w:b/>
          <w:bCs/>
        </w:rPr>
        <w:t>drove a commercial motor vehicle upon a highway in this state</w:t>
      </w:r>
      <w:r w:rsidRPr="00097777">
        <w:t>.</w:t>
      </w:r>
    </w:p>
    <w:p w14:paraId="2A79F904" w14:textId="77777777" w:rsidR="00F22396" w:rsidRDefault="00F22396" w:rsidP="00F22396">
      <w:pPr>
        <w:pStyle w:val="SJITextItalic"/>
        <w:ind w:left="360" w:firstLine="0"/>
      </w:pPr>
      <w:r w:rsidRPr="00097777">
        <w:t>Give as applicable.</w:t>
      </w:r>
    </w:p>
    <w:p w14:paraId="2452E1ED" w14:textId="0354DF8E" w:rsidR="00F22396" w:rsidRPr="00B1466F" w:rsidRDefault="00F22396" w:rsidP="00737B16">
      <w:pPr>
        <w:pStyle w:val="ListParagraph"/>
        <w:widowControl w:val="0"/>
        <w:numPr>
          <w:ilvl w:val="0"/>
          <w:numId w:val="2"/>
        </w:numPr>
        <w:autoSpaceDE w:val="0"/>
        <w:autoSpaceDN w:val="0"/>
        <w:adjustRightInd w:val="0"/>
        <w:ind w:left="1152" w:hanging="576"/>
        <w:rPr>
          <w:i/>
        </w:rPr>
      </w:pPr>
      <w:r w:rsidRPr="000C52B3">
        <w:rPr>
          <w:b/>
        </w:rPr>
        <w:t xml:space="preserve">At that time, </w:t>
      </w:r>
    </w:p>
    <w:p w14:paraId="1AB201EA" w14:textId="77777777" w:rsidR="00F22396" w:rsidRPr="00737B16" w:rsidRDefault="00F22396" w:rsidP="008E05F3">
      <w:pPr>
        <w:pStyle w:val="ListParagraph"/>
        <w:numPr>
          <w:ilvl w:val="0"/>
          <w:numId w:val="7"/>
        </w:numPr>
        <w:ind w:left="1656"/>
        <w:rPr>
          <w:b/>
          <w:bCs/>
        </w:rPr>
      </w:pPr>
      <w:r w:rsidRPr="00737B16">
        <w:rPr>
          <w:b/>
          <w:bCs/>
        </w:rPr>
        <w:t>[his] [her] [license] [driving privilege] was [canceled] [suspended] [revoked] [disqualified].</w:t>
      </w:r>
    </w:p>
    <w:p w14:paraId="3A00260E" w14:textId="77777777" w:rsidR="00F22396" w:rsidRPr="00737B16" w:rsidRDefault="00F22396" w:rsidP="008E05F3">
      <w:pPr>
        <w:pStyle w:val="ListParagraph"/>
        <w:numPr>
          <w:ilvl w:val="0"/>
          <w:numId w:val="7"/>
        </w:numPr>
        <w:ind w:left="1656"/>
        <w:rPr>
          <w:b/>
          <w:bCs/>
        </w:rPr>
      </w:pPr>
      <w:r w:rsidRPr="00737B16">
        <w:rPr>
          <w:b/>
          <w:bCs/>
        </w:rPr>
        <w:t>[he] [she] was under suspension or revocation equivalent status].</w:t>
      </w:r>
    </w:p>
    <w:p w14:paraId="26F29E91" w14:textId="17DC18DF" w:rsidR="00F22396" w:rsidRPr="00097777" w:rsidRDefault="00F22396" w:rsidP="00F22396">
      <w:pPr>
        <w:pStyle w:val="SJITextItalic"/>
      </w:pPr>
      <w:r w:rsidRPr="00097777">
        <w:t>§ 322.01, Fla. Stat.</w:t>
      </w:r>
    </w:p>
    <w:p w14:paraId="44B9DF64" w14:textId="77777777" w:rsidR="00F22396" w:rsidRPr="00097777" w:rsidRDefault="00F22396" w:rsidP="00F22396">
      <w:pPr>
        <w:suppressAutoHyphens/>
        <w:rPr>
          <w:b/>
          <w:iCs/>
        </w:rPr>
      </w:pPr>
      <w:r w:rsidRPr="00097777">
        <w:rPr>
          <w:b/>
          <w:iCs/>
        </w:rPr>
        <w:t>To “drive a commercial motor vehicle” means to operate or be in actual physical control of a commercial motor vehicle in any place open to the general public for purposes of vehicular traffic.</w:t>
      </w:r>
    </w:p>
    <w:p w14:paraId="26B7F619" w14:textId="77777777" w:rsidR="00F22396" w:rsidRPr="00097777" w:rsidRDefault="00F22396" w:rsidP="00F22396">
      <w:pPr>
        <w:tabs>
          <w:tab w:val="left" w:pos="0"/>
        </w:tabs>
        <w:suppressAutoHyphens/>
        <w:rPr>
          <w:b/>
        </w:rPr>
      </w:pPr>
      <w:r w:rsidRPr="00097777">
        <w:rPr>
          <w:b/>
        </w:rPr>
        <w:t>“Commercial motor vehicle” means any motor vehicle used on the streets or highways, which:</w:t>
      </w:r>
    </w:p>
    <w:p w14:paraId="7A68D6C6" w14:textId="77777777" w:rsidR="00F22396" w:rsidRPr="00097777" w:rsidRDefault="00F22396" w:rsidP="00F22396">
      <w:pPr>
        <w:tabs>
          <w:tab w:val="left" w:pos="0"/>
        </w:tabs>
        <w:suppressAutoHyphens/>
        <w:ind w:left="1440" w:hanging="720"/>
        <w:rPr>
          <w:b/>
        </w:rPr>
      </w:pPr>
      <w:r w:rsidRPr="00097777">
        <w:rPr>
          <w:b/>
        </w:rPr>
        <w:t>a.</w:t>
      </w:r>
      <w:r w:rsidRPr="00097777">
        <w:rPr>
          <w:b/>
        </w:rPr>
        <w:tab/>
        <w:t>Has a gross vehicle weight rating of 26,001 pounds or more;</w:t>
      </w:r>
    </w:p>
    <w:p w14:paraId="230464E4" w14:textId="77777777" w:rsidR="00F22396" w:rsidRPr="00097777" w:rsidRDefault="00F22396" w:rsidP="00F22396">
      <w:pPr>
        <w:tabs>
          <w:tab w:val="left" w:pos="0"/>
        </w:tabs>
        <w:suppressAutoHyphens/>
        <w:ind w:left="1440" w:hanging="720"/>
        <w:rPr>
          <w:b/>
        </w:rPr>
      </w:pPr>
      <w:r w:rsidRPr="00097777">
        <w:rPr>
          <w:b/>
        </w:rPr>
        <w:t>b.</w:t>
      </w:r>
      <w:r w:rsidRPr="00097777">
        <w:rPr>
          <w:b/>
        </w:rPr>
        <w:tab/>
        <w:t>Is designed to transport more than 15 persons, including the driver; or</w:t>
      </w:r>
    </w:p>
    <w:p w14:paraId="7A9F3526" w14:textId="77777777" w:rsidR="00F22396" w:rsidRPr="00097777" w:rsidRDefault="00F22396" w:rsidP="00F22396">
      <w:pPr>
        <w:tabs>
          <w:tab w:val="left" w:pos="0"/>
        </w:tabs>
        <w:suppressAutoHyphens/>
        <w:ind w:left="1440" w:hanging="720"/>
        <w:rPr>
          <w:b/>
        </w:rPr>
      </w:pPr>
      <w:r w:rsidRPr="00097777">
        <w:rPr>
          <w:b/>
        </w:rPr>
        <w:t>c.</w:t>
      </w:r>
      <w:r w:rsidRPr="00097777">
        <w:rPr>
          <w:b/>
        </w:rPr>
        <w:tab/>
        <w:t>Is transporting hazardous materials and is required to be placarded in accordance with 49 C.F.R. part 172, subpart F.</w:t>
      </w:r>
    </w:p>
    <w:p w14:paraId="48C6E718" w14:textId="3A3250ED" w:rsidR="00F22396" w:rsidRPr="00097777" w:rsidRDefault="00F22396" w:rsidP="00F22396">
      <w:pPr>
        <w:pStyle w:val="SJITextItalic"/>
      </w:pPr>
      <w:r w:rsidRPr="00097777">
        <w:t>Some of these terms (such as “vehicle” and “electric bicycle”) have their own statutory definitions, which should be given if necessary.</w:t>
      </w:r>
    </w:p>
    <w:p w14:paraId="119C59F7" w14:textId="77777777" w:rsidR="00F22396" w:rsidRPr="000C52B3" w:rsidRDefault="00F22396" w:rsidP="00F22396">
      <w:pPr>
        <w:rPr>
          <w:b/>
          <w:bCs/>
        </w:rPr>
      </w:pPr>
      <w:r w:rsidRPr="000C52B3">
        <w:rPr>
          <w:b/>
          <w:bCs/>
        </w:rPr>
        <w:t>“Motor vehicle” means any self-propelled vehicle, including a motor vehicle combination, not operated upon rails or guideway, excluding vehicles moved solely by human power[, motorized wheelchairs, and electric bicycles].</w:t>
      </w:r>
    </w:p>
    <w:p w14:paraId="0629BA67" w14:textId="53D27643" w:rsidR="00F22396" w:rsidRPr="00097777" w:rsidRDefault="00F22396" w:rsidP="00F22396">
      <w:pPr>
        <w:pStyle w:val="SJITextItalic"/>
      </w:pPr>
      <w:r w:rsidRPr="00097777">
        <w:t>State v. Tucker, 761 So. 2d 1248 (Fla. 2d DCA 2000).</w:t>
      </w:r>
    </w:p>
    <w:p w14:paraId="09E0BDAA" w14:textId="49A63CF0" w:rsidR="00F22396" w:rsidRPr="00097777" w:rsidRDefault="00F22396" w:rsidP="00F22396">
      <w:pPr>
        <w:autoSpaceDE w:val="0"/>
        <w:autoSpaceDN w:val="0"/>
        <w:adjustRightInd w:val="0"/>
        <w:rPr>
          <w:b/>
          <w:color w:val="000000"/>
        </w:rPr>
      </w:pPr>
      <w:r w:rsidRPr="00097777">
        <w:rPr>
          <w:b/>
          <w:color w:val="000000"/>
        </w:rPr>
        <w:t>“</w:t>
      </w:r>
      <w:r w:rsidR="0030241F">
        <w:rPr>
          <w:b/>
          <w:color w:val="000000"/>
        </w:rPr>
        <w:t>H</w:t>
      </w:r>
      <w:r w:rsidRPr="00097777">
        <w:rPr>
          <w:b/>
          <w:color w:val="000000"/>
        </w:rPr>
        <w:t xml:space="preserve">ighway” means the entire width between the boundary lines of every way or place if any part thereof is open to the use of the public for purposes of </w:t>
      </w:r>
      <w:r w:rsidRPr="00097777">
        <w:rPr>
          <w:b/>
          <w:color w:val="000000"/>
        </w:rPr>
        <w:lastRenderedPageBreak/>
        <w:t>vehicular traffic. [A privately owned parking lot, that is open to public use by vehicles, is considered to be a highway.]</w:t>
      </w:r>
    </w:p>
    <w:p w14:paraId="52D90AE2" w14:textId="77777777" w:rsidR="00F22396" w:rsidRPr="000C52B3" w:rsidRDefault="00F22396" w:rsidP="00F22396">
      <w:pPr>
        <w:autoSpaceDE w:val="0"/>
        <w:autoSpaceDN w:val="0"/>
        <w:adjustRightInd w:val="0"/>
        <w:rPr>
          <w:b/>
          <w:iCs/>
          <w:color w:val="000000"/>
        </w:rPr>
      </w:pPr>
      <w:r w:rsidRPr="00097777">
        <w:rPr>
          <w:b/>
          <w:iCs/>
          <w:color w:val="000000"/>
        </w:rPr>
        <w:t>“Suspension or revocation equivalent status” is a designation by the Florida Department of Highway Safety and Motor Vehicles for a person who does not have a driver license or driving privilege but would qualify for suspension or revocation of his or her driver license or driving privilege if licensed.</w:t>
      </w:r>
    </w:p>
    <w:p w14:paraId="28328ED4" w14:textId="77777777" w:rsidR="00F22396" w:rsidRPr="00097777" w:rsidRDefault="00F22396" w:rsidP="00F22396">
      <w:pPr>
        <w:autoSpaceDE w:val="0"/>
        <w:autoSpaceDN w:val="0"/>
        <w:adjustRightInd w:val="0"/>
        <w:rPr>
          <w:b/>
          <w:color w:val="000000"/>
        </w:rPr>
      </w:pPr>
      <w:r w:rsidRPr="00097777">
        <w:rPr>
          <w:b/>
          <w:color w:val="000000"/>
        </w:rPr>
        <w:t>“Suspended” means the privilege to drive a motor vehicle has been temporarily withdrawn.</w:t>
      </w:r>
    </w:p>
    <w:p w14:paraId="6D3394AE" w14:textId="77777777" w:rsidR="00F22396" w:rsidRPr="00097777" w:rsidRDefault="00F22396" w:rsidP="00F22396">
      <w:pPr>
        <w:autoSpaceDE w:val="0"/>
        <w:autoSpaceDN w:val="0"/>
        <w:adjustRightInd w:val="0"/>
        <w:rPr>
          <w:b/>
          <w:color w:val="000000"/>
        </w:rPr>
      </w:pPr>
      <w:r w:rsidRPr="00097777">
        <w:rPr>
          <w:b/>
          <w:color w:val="000000"/>
        </w:rPr>
        <w:t>“Revoked” means the privilege to drive a motor vehicle has been terminated.</w:t>
      </w:r>
    </w:p>
    <w:p w14:paraId="7E0FC6DC" w14:textId="77777777" w:rsidR="00F22396" w:rsidRPr="00097777" w:rsidRDefault="00F22396" w:rsidP="00F22396">
      <w:pPr>
        <w:autoSpaceDE w:val="0"/>
        <w:autoSpaceDN w:val="0"/>
        <w:adjustRightInd w:val="0"/>
        <w:rPr>
          <w:b/>
          <w:color w:val="000000"/>
        </w:rPr>
      </w:pPr>
      <w:r w:rsidRPr="00097777">
        <w:rPr>
          <w:b/>
          <w:color w:val="000000"/>
        </w:rPr>
        <w:t>“Canceled” means that a license has been declared void and terminated.</w:t>
      </w:r>
    </w:p>
    <w:p w14:paraId="293BD352" w14:textId="77777777" w:rsidR="00F22396" w:rsidRPr="00097777" w:rsidRDefault="00F22396" w:rsidP="00F22396">
      <w:pPr>
        <w:autoSpaceDE w:val="0"/>
        <w:autoSpaceDN w:val="0"/>
        <w:adjustRightInd w:val="0"/>
        <w:rPr>
          <w:b/>
          <w:color w:val="000000"/>
        </w:rPr>
      </w:pPr>
      <w:r w:rsidRPr="00097777">
        <w:rPr>
          <w:b/>
        </w:rPr>
        <w:t>“Disqualified” means a prohibition, other than an out-of-service order, that precludes a person from driving a commercial motor vehicle.</w:t>
      </w:r>
    </w:p>
    <w:p w14:paraId="7726AB88" w14:textId="77777777" w:rsidR="00F22396" w:rsidRPr="00097777" w:rsidRDefault="00F22396" w:rsidP="00F22396">
      <w:pPr>
        <w:pStyle w:val="SJITextItalic"/>
      </w:pPr>
      <w:r w:rsidRPr="00097777">
        <w:t>The option of “on a motor vehicle” pertains to motor vehicles such as motorcycles and mopeds.</w:t>
      </w:r>
    </w:p>
    <w:p w14:paraId="15DBD9BD" w14:textId="17351BE9" w:rsidR="00F22396" w:rsidRDefault="00F22396" w:rsidP="0030241F">
      <w:pPr>
        <w:autoSpaceDE w:val="0"/>
        <w:autoSpaceDN w:val="0"/>
        <w:adjustRightInd w:val="0"/>
        <w:rPr>
          <w:rFonts w:cs="Courier New"/>
          <w:b/>
        </w:rPr>
      </w:pPr>
      <w:r w:rsidRPr="00097777">
        <w:rPr>
          <w:b/>
          <w:color w:val="000000"/>
        </w:rPr>
        <w:t>“Actual physical control” of a motor vehicle means the defendant must be physically in [or on] the motor vehicle and have the capability to operate the motor vehicle, regardless of whether [he] [she] is actually operating the motor vehicle at the time.</w:t>
      </w:r>
    </w:p>
    <w:p w14:paraId="2E3CD478" w14:textId="77777777" w:rsidR="00F22396" w:rsidRPr="00097777" w:rsidRDefault="00F22396" w:rsidP="00F22396">
      <w:pPr>
        <w:pStyle w:val="SJIComments"/>
      </w:pPr>
      <w:r w:rsidRPr="00097777">
        <w:t>Lesser Included Offenses</w:t>
      </w:r>
    </w:p>
    <w:p w14:paraId="6EAFCAE5" w14:textId="6B7C829F" w:rsidR="00F22396" w:rsidRPr="00097777" w:rsidRDefault="00F22396" w:rsidP="00F22396">
      <w:pPr>
        <w:pStyle w:val="Heading4"/>
      </w:pPr>
      <w:bookmarkStart w:id="3" w:name="_Toc109650916"/>
      <w:r w:rsidRPr="00097777">
        <w:t>DRIVING A COMMERCIAL MOTOR VEHICLE WHILE [[DRIVER LICENSE] [DRIVING PRIVILEGE] [CANCELED] [SUSPENDED] [REVOKED] [DISQUALIFIED]] [UNDER SUSPENSION OR REVOCATION EQUIVALENT STATUS]</w:t>
      </w:r>
      <w:r w:rsidR="0030241F">
        <w:t xml:space="preserve"> </w:t>
      </w:r>
      <w:r w:rsidRPr="00097777">
        <w:t>— 322.34(7)</w:t>
      </w:r>
      <w:bookmarkEnd w:id="3"/>
    </w:p>
    <w:tbl>
      <w:tblPr>
        <w:tblStyle w:val="TableGrid1"/>
        <w:tblW w:w="5000" w:type="pct"/>
        <w:tblLook w:val="0420" w:firstRow="1" w:lastRow="0" w:firstColumn="0" w:lastColumn="0" w:noHBand="0" w:noVBand="1"/>
      </w:tblPr>
      <w:tblGrid>
        <w:gridCol w:w="2515"/>
        <w:gridCol w:w="3961"/>
        <w:gridCol w:w="1619"/>
        <w:gridCol w:w="1255"/>
      </w:tblGrid>
      <w:tr w:rsidR="00F22396" w:rsidRPr="00097777" w14:paraId="14C910EB" w14:textId="77777777" w:rsidTr="003D27AB">
        <w:trPr>
          <w:cnfStyle w:val="100000000000" w:firstRow="1" w:lastRow="0" w:firstColumn="0" w:lastColumn="0" w:oddVBand="0" w:evenVBand="0" w:oddHBand="0" w:evenHBand="0" w:firstRowFirstColumn="0" w:firstRowLastColumn="0" w:lastRowFirstColumn="0" w:lastRowLastColumn="0"/>
          <w:tblHeader/>
        </w:trPr>
        <w:tc>
          <w:tcPr>
            <w:tcW w:w="1345" w:type="pct"/>
          </w:tcPr>
          <w:p w14:paraId="6907A215" w14:textId="77777777" w:rsidR="00F22396" w:rsidRPr="00097777" w:rsidRDefault="00F22396" w:rsidP="008D2587">
            <w:pPr>
              <w:pStyle w:val="SJITableText"/>
            </w:pPr>
            <w:r w:rsidRPr="00097777">
              <w:t>CATEGORY ONE</w:t>
            </w:r>
          </w:p>
        </w:tc>
        <w:tc>
          <w:tcPr>
            <w:tcW w:w="2118" w:type="pct"/>
          </w:tcPr>
          <w:p w14:paraId="64E1F93C" w14:textId="77777777" w:rsidR="00F22396" w:rsidRPr="00097777" w:rsidRDefault="00F22396" w:rsidP="008D2587">
            <w:pPr>
              <w:pStyle w:val="SJITableText"/>
            </w:pPr>
            <w:r w:rsidRPr="00097777">
              <w:t>CATEGORY TWO</w:t>
            </w:r>
          </w:p>
        </w:tc>
        <w:tc>
          <w:tcPr>
            <w:tcW w:w="866" w:type="pct"/>
          </w:tcPr>
          <w:p w14:paraId="4C236B6E" w14:textId="77777777" w:rsidR="00F22396" w:rsidRPr="00097777" w:rsidRDefault="00F22396" w:rsidP="008D2587">
            <w:pPr>
              <w:pStyle w:val="SJITableText"/>
            </w:pPr>
            <w:r w:rsidRPr="00097777">
              <w:t>FLA. STAT</w:t>
            </w:r>
          </w:p>
        </w:tc>
        <w:tc>
          <w:tcPr>
            <w:tcW w:w="671" w:type="pct"/>
          </w:tcPr>
          <w:p w14:paraId="05DD45BD" w14:textId="77777777" w:rsidR="00F22396" w:rsidRPr="00097777" w:rsidRDefault="00F22396" w:rsidP="008D2587">
            <w:pPr>
              <w:pStyle w:val="SJITableText"/>
            </w:pPr>
            <w:r w:rsidRPr="00097777">
              <w:t>INS. NO.</w:t>
            </w:r>
          </w:p>
        </w:tc>
      </w:tr>
      <w:tr w:rsidR="00F22396" w:rsidRPr="00097777" w14:paraId="6DDE2F75" w14:textId="77777777" w:rsidTr="003D27AB">
        <w:tc>
          <w:tcPr>
            <w:tcW w:w="1345" w:type="pct"/>
          </w:tcPr>
          <w:p w14:paraId="009AD620" w14:textId="77777777" w:rsidR="00F22396" w:rsidRPr="00097777" w:rsidRDefault="00F22396" w:rsidP="008D2587">
            <w:pPr>
              <w:pStyle w:val="SJITableText"/>
            </w:pPr>
            <w:r w:rsidRPr="00097777">
              <w:t>No Valid Commercial Driver License</w:t>
            </w:r>
          </w:p>
        </w:tc>
        <w:tc>
          <w:tcPr>
            <w:tcW w:w="2118" w:type="pct"/>
          </w:tcPr>
          <w:p w14:paraId="4F15396E" w14:textId="77777777" w:rsidR="00F22396" w:rsidRPr="00097777" w:rsidRDefault="00F22396" w:rsidP="008D2587">
            <w:pPr>
              <w:pStyle w:val="SJITableText"/>
            </w:pPr>
          </w:p>
        </w:tc>
        <w:tc>
          <w:tcPr>
            <w:tcW w:w="866" w:type="pct"/>
          </w:tcPr>
          <w:p w14:paraId="7C490674" w14:textId="77777777" w:rsidR="00F22396" w:rsidRPr="00097777" w:rsidRDefault="00F22396" w:rsidP="008D2587">
            <w:pPr>
              <w:pStyle w:val="SJITableText"/>
            </w:pPr>
            <w:r w:rsidRPr="00097777">
              <w:t>322.53</w:t>
            </w:r>
          </w:p>
        </w:tc>
        <w:tc>
          <w:tcPr>
            <w:tcW w:w="671" w:type="pct"/>
          </w:tcPr>
          <w:p w14:paraId="18897F1D" w14:textId="77777777" w:rsidR="00F22396" w:rsidRPr="00097777" w:rsidRDefault="00F22396" w:rsidP="008D2587">
            <w:pPr>
              <w:pStyle w:val="SJITableText"/>
            </w:pPr>
            <w:r w:rsidRPr="00097777">
              <w:t>28.9(a)</w:t>
            </w:r>
          </w:p>
        </w:tc>
      </w:tr>
      <w:tr w:rsidR="00F22396" w:rsidRPr="00097777" w14:paraId="1649AA1D" w14:textId="77777777" w:rsidTr="003D27AB">
        <w:tc>
          <w:tcPr>
            <w:tcW w:w="1345" w:type="pct"/>
          </w:tcPr>
          <w:p w14:paraId="7FCF96FB" w14:textId="77777777" w:rsidR="00F22396" w:rsidRPr="00097777" w:rsidRDefault="00F22396" w:rsidP="008D2587">
            <w:pPr>
              <w:pStyle w:val="SJITableText"/>
            </w:pPr>
          </w:p>
        </w:tc>
        <w:tc>
          <w:tcPr>
            <w:tcW w:w="2118" w:type="pct"/>
          </w:tcPr>
          <w:p w14:paraId="59E02892" w14:textId="77777777" w:rsidR="00F22396" w:rsidRPr="00097777" w:rsidRDefault="00F22396" w:rsidP="008D2587">
            <w:pPr>
              <w:pStyle w:val="SJITableText"/>
            </w:pPr>
            <w:r w:rsidRPr="00097777">
              <w:t>No Valid Driver License</w:t>
            </w:r>
          </w:p>
        </w:tc>
        <w:tc>
          <w:tcPr>
            <w:tcW w:w="866" w:type="pct"/>
          </w:tcPr>
          <w:p w14:paraId="07815FF4" w14:textId="77777777" w:rsidR="00F22396" w:rsidRPr="00097777" w:rsidRDefault="00F22396" w:rsidP="008D2587">
            <w:pPr>
              <w:pStyle w:val="SJITableText"/>
            </w:pPr>
            <w:r w:rsidRPr="00097777">
              <w:t>322.03 </w:t>
            </w:r>
          </w:p>
        </w:tc>
        <w:tc>
          <w:tcPr>
            <w:tcW w:w="671" w:type="pct"/>
          </w:tcPr>
          <w:p w14:paraId="094AD13C" w14:textId="77777777" w:rsidR="00F22396" w:rsidRPr="00097777" w:rsidRDefault="00F22396" w:rsidP="008D2587">
            <w:pPr>
              <w:pStyle w:val="SJITableText"/>
            </w:pPr>
            <w:r w:rsidRPr="00097777">
              <w:t>28.9 </w:t>
            </w:r>
          </w:p>
        </w:tc>
      </w:tr>
      <w:tr w:rsidR="00F22396" w:rsidRPr="00097777" w14:paraId="18702F08" w14:textId="77777777" w:rsidTr="003D27AB">
        <w:tc>
          <w:tcPr>
            <w:tcW w:w="1345" w:type="pct"/>
          </w:tcPr>
          <w:p w14:paraId="230FE0AC" w14:textId="77777777" w:rsidR="00F22396" w:rsidRPr="00097777" w:rsidRDefault="00F22396" w:rsidP="008D2587">
            <w:pPr>
              <w:pStyle w:val="SJITableText"/>
            </w:pPr>
          </w:p>
        </w:tc>
        <w:tc>
          <w:tcPr>
            <w:tcW w:w="2118" w:type="pct"/>
          </w:tcPr>
          <w:p w14:paraId="332ADA90" w14:textId="77777777" w:rsidR="00F22396" w:rsidRPr="00097777" w:rsidRDefault="00F22396" w:rsidP="008D2587">
            <w:pPr>
              <w:pStyle w:val="SJITableText"/>
            </w:pPr>
            <w:r w:rsidRPr="00097777">
              <w:t xml:space="preserve">Driving While License/Driving Privilege Canceled, Suspended, Revoked or While Under Suspension or Revocation Status, With Knowledge </w:t>
            </w:r>
          </w:p>
        </w:tc>
        <w:tc>
          <w:tcPr>
            <w:tcW w:w="866" w:type="pct"/>
          </w:tcPr>
          <w:p w14:paraId="0E0F8302" w14:textId="77777777" w:rsidR="00F22396" w:rsidRPr="00097777" w:rsidRDefault="00F22396" w:rsidP="008D2587">
            <w:pPr>
              <w:pStyle w:val="SJITableText"/>
            </w:pPr>
            <w:r w:rsidRPr="00097777">
              <w:t>322.34(2)</w:t>
            </w:r>
          </w:p>
        </w:tc>
        <w:tc>
          <w:tcPr>
            <w:tcW w:w="671" w:type="pct"/>
          </w:tcPr>
          <w:p w14:paraId="04219C27" w14:textId="77777777" w:rsidR="00F22396" w:rsidRPr="00097777" w:rsidRDefault="00F22396" w:rsidP="008D2587">
            <w:pPr>
              <w:pStyle w:val="SJITableText"/>
            </w:pPr>
            <w:r w:rsidRPr="00097777">
              <w:t>28.11</w:t>
            </w:r>
          </w:p>
        </w:tc>
      </w:tr>
      <w:tr w:rsidR="00F22396" w:rsidRPr="00097777" w14:paraId="17529685" w14:textId="77777777" w:rsidTr="003D27AB">
        <w:tc>
          <w:tcPr>
            <w:tcW w:w="1345" w:type="pct"/>
          </w:tcPr>
          <w:p w14:paraId="22C8F57D" w14:textId="77777777" w:rsidR="00F22396" w:rsidRPr="00097777" w:rsidRDefault="00F22396" w:rsidP="008D2587">
            <w:pPr>
              <w:pStyle w:val="SJITableText"/>
            </w:pPr>
          </w:p>
        </w:tc>
        <w:tc>
          <w:tcPr>
            <w:tcW w:w="2118" w:type="pct"/>
          </w:tcPr>
          <w:p w14:paraId="127E7D00" w14:textId="77777777" w:rsidR="00F22396" w:rsidRPr="00097777" w:rsidRDefault="00F22396" w:rsidP="008D2587">
            <w:pPr>
              <w:pStyle w:val="SJITableText"/>
            </w:pPr>
            <w:r w:rsidRPr="00097777">
              <w:t>Attempt</w:t>
            </w:r>
          </w:p>
        </w:tc>
        <w:tc>
          <w:tcPr>
            <w:tcW w:w="866" w:type="pct"/>
          </w:tcPr>
          <w:p w14:paraId="198E3282" w14:textId="77777777" w:rsidR="00F22396" w:rsidRPr="00097777" w:rsidRDefault="00F22396" w:rsidP="008D2587">
            <w:pPr>
              <w:pStyle w:val="SJITableText"/>
            </w:pPr>
            <w:r w:rsidRPr="00097777">
              <w:t>777.04(1)</w:t>
            </w:r>
          </w:p>
        </w:tc>
        <w:tc>
          <w:tcPr>
            <w:tcW w:w="671" w:type="pct"/>
          </w:tcPr>
          <w:p w14:paraId="7F345FF8" w14:textId="77777777" w:rsidR="00F22396" w:rsidRPr="00097777" w:rsidRDefault="00F22396" w:rsidP="008D2587">
            <w:pPr>
              <w:pStyle w:val="SJITableText"/>
            </w:pPr>
            <w:r w:rsidRPr="00097777">
              <w:t>5.1</w:t>
            </w:r>
          </w:p>
        </w:tc>
      </w:tr>
    </w:tbl>
    <w:p w14:paraId="451A5E5A" w14:textId="77777777" w:rsidR="009E4CE2" w:rsidRDefault="009E4CE2">
      <w:pPr>
        <w:spacing w:after="160"/>
        <w:ind w:firstLine="0"/>
        <w:rPr>
          <w:rFonts w:cs="Courier New"/>
          <w:b/>
        </w:rPr>
      </w:pPr>
      <w:r>
        <w:br w:type="page"/>
      </w:r>
    </w:p>
    <w:p w14:paraId="566535AC" w14:textId="5ECEF859" w:rsidR="00F22396" w:rsidRPr="00097777" w:rsidRDefault="00F22396" w:rsidP="00F22396">
      <w:pPr>
        <w:pStyle w:val="SJIComments"/>
      </w:pPr>
      <w:r w:rsidRPr="00097777">
        <w:lastRenderedPageBreak/>
        <w:t>Comments</w:t>
      </w:r>
    </w:p>
    <w:p w14:paraId="03C8DAA9" w14:textId="77777777" w:rsidR="00F22396" w:rsidRPr="00097777" w:rsidRDefault="00F22396" w:rsidP="00F22396">
      <w:r w:rsidRPr="00097777">
        <w:t>Pursuant to § 322.251(1), Fla. Stat., failure to receive the mailed order shall not affect or stay the effective date or term of the cancellation, suspension, or revocation of the defendant’s driving privilege.</w:t>
      </w:r>
    </w:p>
    <w:p w14:paraId="4B792A55" w14:textId="506F2327" w:rsidR="00F22396" w:rsidRPr="00101AC4" w:rsidRDefault="00F22396" w:rsidP="00F22396">
      <w:pPr>
        <w:autoSpaceDE w:val="0"/>
        <w:autoSpaceDN w:val="0"/>
        <w:adjustRightInd w:val="0"/>
        <w:rPr>
          <w:rFonts w:cs="Times New Roman"/>
          <w:iCs/>
          <w:color w:val="000000"/>
        </w:rPr>
      </w:pPr>
      <w:r w:rsidRPr="00101AC4">
        <w:rPr>
          <w:color w:val="000000"/>
        </w:rPr>
        <w:t xml:space="preserve">The crime in § 322.34(7), Fla. Stat., is bumped up from a first degree misdemeanor to a third degree felony if the defendant had a prior conviction for </w:t>
      </w:r>
      <w:r w:rsidR="0030241F" w:rsidRPr="00101AC4">
        <w:rPr>
          <w:color w:val="000000"/>
        </w:rPr>
        <w:t xml:space="preserve">          </w:t>
      </w:r>
      <w:r w:rsidRPr="00101AC4">
        <w:rPr>
          <w:color w:val="000000"/>
        </w:rPr>
        <w:t xml:space="preserve">§ 322.34(7), Fla. Stat. </w:t>
      </w:r>
      <w:r w:rsidR="00A64B9C" w:rsidRPr="00101AC4">
        <w:rPr>
          <w:rFonts w:cs="Times New Roman"/>
          <w:color w:val="000000"/>
        </w:rPr>
        <w:t xml:space="preserve">It is </w:t>
      </w:r>
      <w:r w:rsidR="00101AC4" w:rsidRPr="00101AC4">
        <w:rPr>
          <w:rFonts w:cs="Times New Roman"/>
          <w:color w:val="000000"/>
        </w:rPr>
        <w:t>possible</w:t>
      </w:r>
      <w:r w:rsidR="00A64B9C" w:rsidRPr="00101AC4">
        <w:rPr>
          <w:rFonts w:cs="Times New Roman"/>
          <w:color w:val="000000"/>
        </w:rPr>
        <w:t xml:space="preserve"> that a withhold of adjudication qualifies as a conviction because of </w:t>
      </w:r>
      <w:r w:rsidR="00A64B9C" w:rsidRPr="00101AC4">
        <w:rPr>
          <w:rFonts w:cs="Times New Roman"/>
          <w:i/>
          <w:color w:val="000000"/>
        </w:rPr>
        <w:t>Raulerson v. State</w:t>
      </w:r>
      <w:r w:rsidR="00A64B9C" w:rsidRPr="00101AC4">
        <w:rPr>
          <w:rFonts w:cs="Times New Roman"/>
          <w:color w:val="000000"/>
        </w:rPr>
        <w:t xml:space="preserve">, 763 So. 2d 285 (Fla. 2000), and § 322.01(11), Fla. Stat., although there was no case law directly on point as of </w:t>
      </w:r>
      <w:r w:rsidR="00101AC4" w:rsidRPr="00101AC4">
        <w:rPr>
          <w:rFonts w:cs="Times New Roman"/>
          <w:color w:val="000000"/>
        </w:rPr>
        <w:t>June 2025.</w:t>
      </w:r>
      <w:r w:rsidR="00A64B9C" w:rsidRPr="00101AC4">
        <w:rPr>
          <w:rFonts w:cs="Times New Roman"/>
          <w:color w:val="000000"/>
        </w:rPr>
        <w:t xml:space="preserve"> H</w:t>
      </w:r>
      <w:r w:rsidR="00A64B9C" w:rsidRPr="00101AC4">
        <w:rPr>
          <w:rFonts w:cs="Times New Roman"/>
          <w:iCs/>
          <w:color w:val="000000"/>
        </w:rPr>
        <w:t xml:space="preserve">owever, pursuant to Fla. R. Traf. Ct. 6.560 and </w:t>
      </w:r>
      <w:r w:rsidR="00A64B9C" w:rsidRPr="00101AC4">
        <w:rPr>
          <w:rFonts w:cs="Times New Roman"/>
          <w:i/>
          <w:iCs/>
          <w:color w:val="000000"/>
        </w:rPr>
        <w:t>Raulerson</w:t>
      </w:r>
      <w:r w:rsidR="00A64B9C" w:rsidRPr="00101AC4">
        <w:rPr>
          <w:rFonts w:cs="Times New Roman"/>
          <w:iCs/>
          <w:color w:val="000000"/>
        </w:rPr>
        <w:t>, a withhold of adjudication that was obtained pursuant to § 318.14(10), Fla. Stat., does not qualify as a conviction.</w:t>
      </w:r>
    </w:p>
    <w:p w14:paraId="41228EB0" w14:textId="6C2F2423" w:rsidR="00A64B9C" w:rsidRPr="00101AC4" w:rsidRDefault="00A64B9C" w:rsidP="00A64B9C">
      <w:pPr>
        <w:autoSpaceDE w:val="0"/>
        <w:autoSpaceDN w:val="0"/>
        <w:adjustRightInd w:val="0"/>
        <w:rPr>
          <w:rFonts w:cs="Times New Roman"/>
          <w:color w:val="000000"/>
        </w:rPr>
      </w:pPr>
      <w:r w:rsidRPr="00101AC4">
        <w:rPr>
          <w:rFonts w:cs="Times New Roman"/>
          <w:iCs/>
          <w:color w:val="000000"/>
        </w:rPr>
        <w:t xml:space="preserve">Although there is no caselaw on point, it is </w:t>
      </w:r>
      <w:r w:rsidR="00101AC4" w:rsidRPr="00101AC4">
        <w:rPr>
          <w:rFonts w:cs="Times New Roman"/>
          <w:iCs/>
          <w:color w:val="000000"/>
        </w:rPr>
        <w:t>possible</w:t>
      </w:r>
      <w:r w:rsidRPr="00101AC4">
        <w:rPr>
          <w:rFonts w:cs="Times New Roman"/>
          <w:iCs/>
          <w:color w:val="000000"/>
        </w:rPr>
        <w:t xml:space="preserve"> that the </w:t>
      </w:r>
      <w:r w:rsidRPr="00101AC4">
        <w:rPr>
          <w:rFonts w:cs="Times New Roman"/>
          <w:color w:val="000000"/>
        </w:rPr>
        <w:t xml:space="preserve">existence of the prior conviction can be proven to the trial judge at sentencing as a recidivist factor </w:t>
      </w:r>
      <w:r w:rsidRPr="00101AC4">
        <w:rPr>
          <w:rFonts w:cs="Times New Roman"/>
          <w:iCs/>
          <w:color w:val="000000"/>
        </w:rPr>
        <w:t xml:space="preserve">and not an element of the crime that must be proven to the jury, based on </w:t>
      </w:r>
      <w:r w:rsidRPr="00101AC4">
        <w:rPr>
          <w:rFonts w:ascii="Times New Roman" w:hAnsi="Times New Roman"/>
          <w:i/>
          <w:iCs/>
          <w:sz w:val="24"/>
          <w:szCs w:val="24"/>
        </w:rPr>
        <w:t>State v. Haddix</w:t>
      </w:r>
      <w:r w:rsidRPr="00101AC4">
        <w:rPr>
          <w:rFonts w:ascii="Times New Roman" w:hAnsi="Times New Roman"/>
          <w:sz w:val="24"/>
          <w:szCs w:val="24"/>
        </w:rPr>
        <w:t xml:space="preserve">, 668 So.2d 1064  (Fla. 4th DCA 1996) and </w:t>
      </w:r>
      <w:r w:rsidRPr="00101AC4">
        <w:rPr>
          <w:rFonts w:cs="Times New Roman"/>
          <w:iCs/>
          <w:color w:val="000000"/>
        </w:rPr>
        <w:t xml:space="preserve">because of the recidivism exception in </w:t>
      </w:r>
      <w:proofErr w:type="spellStart"/>
      <w:r w:rsidRPr="00101AC4">
        <w:rPr>
          <w:rFonts w:cs="Times New Roman"/>
          <w:i/>
          <w:color w:val="000000"/>
        </w:rPr>
        <w:t>Almendarez</w:t>
      </w:r>
      <w:proofErr w:type="spellEnd"/>
      <w:r w:rsidRPr="00101AC4">
        <w:rPr>
          <w:rFonts w:cs="Times New Roman"/>
          <w:i/>
          <w:color w:val="000000"/>
        </w:rPr>
        <w:t>-Torres v. United States</w:t>
      </w:r>
      <w:r w:rsidRPr="00101AC4">
        <w:rPr>
          <w:rFonts w:cs="Times New Roman"/>
          <w:iCs/>
          <w:color w:val="000000"/>
        </w:rPr>
        <w:t xml:space="preserve">, 523 U.S. 224 (1998) and the language in </w:t>
      </w:r>
      <w:proofErr w:type="spellStart"/>
      <w:r w:rsidRPr="00101AC4">
        <w:rPr>
          <w:rFonts w:cs="Times New Roman"/>
          <w:i/>
          <w:color w:val="000000"/>
        </w:rPr>
        <w:t>Erlinger</w:t>
      </w:r>
      <w:proofErr w:type="spellEnd"/>
      <w:r w:rsidRPr="00101AC4">
        <w:rPr>
          <w:rFonts w:cs="Times New Roman"/>
          <w:i/>
          <w:color w:val="000000"/>
        </w:rPr>
        <w:t xml:space="preserve"> v. United States</w:t>
      </w:r>
      <w:r w:rsidRPr="00101AC4">
        <w:rPr>
          <w:rFonts w:cs="Times New Roman"/>
          <w:iCs/>
          <w:color w:val="000000"/>
        </w:rPr>
        <w:t xml:space="preserve">, 144 S. Ct. 1840 (2024). </w:t>
      </w:r>
    </w:p>
    <w:p w14:paraId="2495BEC9" w14:textId="0AD59C48" w:rsidR="00A64B9C" w:rsidRPr="00101AC4" w:rsidRDefault="00A64B9C" w:rsidP="00A64B9C">
      <w:pPr>
        <w:autoSpaceDE w:val="0"/>
        <w:autoSpaceDN w:val="0"/>
        <w:adjustRightInd w:val="0"/>
        <w:rPr>
          <w:rFonts w:eastAsia="SimSun" w:cs="Times New Roman"/>
          <w:color w:val="000000"/>
        </w:rPr>
      </w:pPr>
      <w:r w:rsidRPr="00101AC4">
        <w:rPr>
          <w:rFonts w:eastAsia="SimSun" w:cs="Times New Roman"/>
          <w:color w:val="000000"/>
        </w:rPr>
        <w:t>If a court determines, however, that a jury finding is required, it would be error to inform the jury of prior convictions. Therefore, if the charging document contains an allegation of prior convictions, do not read that allegation and do not send the charging document into the jury room. If the defendant is found guilty, the historical fact of previous convictions would then be determined beyond a reasonable doubt in a bifurcated proceeding.</w:t>
      </w:r>
      <w:r w:rsidRPr="00101AC4">
        <w:rPr>
          <w:rFonts w:eastAsia="SimSun" w:cs="Times New Roman"/>
          <w:i/>
          <w:color w:val="000000"/>
        </w:rPr>
        <w:t xml:space="preserve"> See State v. Harbaugh</w:t>
      </w:r>
      <w:r w:rsidRPr="00101AC4">
        <w:rPr>
          <w:rFonts w:eastAsia="SimSun" w:cs="Times New Roman"/>
          <w:iCs/>
          <w:color w:val="000000"/>
        </w:rPr>
        <w:t>,</w:t>
      </w:r>
      <w:r w:rsidRPr="00101AC4">
        <w:rPr>
          <w:rFonts w:eastAsia="SimSun" w:cs="Times New Roman"/>
          <w:color w:val="000000"/>
        </w:rPr>
        <w:t xml:space="preserve"> 754 So. 2d 691 (Fla. 2000).</w:t>
      </w:r>
    </w:p>
    <w:p w14:paraId="0259EDC7" w14:textId="16B61832" w:rsidR="00F22396" w:rsidRPr="00101AC4" w:rsidRDefault="00F22396" w:rsidP="00F22396">
      <w:pPr>
        <w:tabs>
          <w:tab w:val="left" w:pos="0"/>
        </w:tabs>
        <w:suppressAutoHyphens/>
        <w:rPr>
          <w:bCs/>
        </w:rPr>
      </w:pPr>
      <w:r w:rsidRPr="00101AC4">
        <w:rPr>
          <w:bCs/>
        </w:rPr>
        <w:t xml:space="preserve">If any of the exemptions set forth in § 322.53(2), Fla. Stat., may apply, a special instruction will be necessary. </w:t>
      </w:r>
    </w:p>
    <w:p w14:paraId="4F03982D" w14:textId="77777777" w:rsidR="00F22396" w:rsidRPr="00101AC4" w:rsidRDefault="00F22396" w:rsidP="00F22396">
      <w:pPr>
        <w:tabs>
          <w:tab w:val="left" w:pos="0"/>
        </w:tabs>
        <w:suppressAutoHyphens/>
      </w:pPr>
      <w:r w:rsidRPr="00101AC4">
        <w:t>If the State is relying on the “transporting hazardous materials” alternative for the definition of “commercial motor vehicle,” a special instruction regarding 49 C.F.R. part 172, subpart F will be necessary.</w:t>
      </w:r>
    </w:p>
    <w:p w14:paraId="57F1C89F" w14:textId="26107DF3" w:rsidR="009435D1" w:rsidRPr="00101AC4" w:rsidRDefault="00F22396" w:rsidP="00F22396">
      <w:r w:rsidRPr="00101AC4">
        <w:rPr>
          <w:color w:val="000000"/>
        </w:rPr>
        <w:t xml:space="preserve">This instruction was adopted on April 1, </w:t>
      </w:r>
      <w:proofErr w:type="gramStart"/>
      <w:r w:rsidRPr="00101AC4">
        <w:rPr>
          <w:color w:val="000000"/>
        </w:rPr>
        <w:t>2020</w:t>
      </w:r>
      <w:proofErr w:type="gramEnd"/>
      <w:r w:rsidRPr="00101AC4">
        <w:rPr>
          <w:color w:val="000000"/>
        </w:rPr>
        <w:t xml:space="preserve"> and was amended on October 2, 2020</w:t>
      </w:r>
      <w:r w:rsidR="005B3F2A" w:rsidRPr="00101AC4">
        <w:rPr>
          <w:color w:val="000000"/>
        </w:rPr>
        <w:t xml:space="preserve">, and on </w:t>
      </w:r>
      <w:r w:rsidR="00101AC4" w:rsidRPr="00101AC4">
        <w:rPr>
          <w:color w:val="000000"/>
        </w:rPr>
        <w:t xml:space="preserve">June 27, </w:t>
      </w:r>
      <w:r w:rsidR="005B3F2A" w:rsidRPr="00101AC4">
        <w:rPr>
          <w:color w:val="000000"/>
        </w:rPr>
        <w:t>2025</w:t>
      </w:r>
      <w:r w:rsidR="0030241F" w:rsidRPr="00101AC4">
        <w:rPr>
          <w:color w:val="000000"/>
        </w:rPr>
        <w:t>.</w:t>
      </w:r>
    </w:p>
    <w:sectPr w:rsidR="009435D1" w:rsidRPr="00101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0164"/>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85E39F6"/>
    <w:multiLevelType w:val="hybridMultilevel"/>
    <w:tmpl w:val="AEF8CE9A"/>
    <w:lvl w:ilvl="0" w:tplc="8C60C0E6">
      <w:start w:val="1"/>
      <w:numFmt w:val="decimal"/>
      <w:lvlText w:val="%1."/>
      <w:lvlJc w:val="left"/>
      <w:pPr>
        <w:ind w:left="1440" w:hanging="360"/>
      </w:pPr>
      <w:rPr>
        <w:rFonts w:cs="Times New Roman"/>
        <w:b/>
        <w:bCs/>
        <w:i w:val="0"/>
        <w:i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78A43C8"/>
    <w:multiLevelType w:val="hybridMultilevel"/>
    <w:tmpl w:val="41A4874E"/>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9FD4A87"/>
    <w:multiLevelType w:val="hybridMultilevel"/>
    <w:tmpl w:val="CED8E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8537010">
    <w:abstractNumId w:val="4"/>
  </w:num>
  <w:num w:numId="2" w16cid:durableId="1351106341">
    <w:abstractNumId w:val="2"/>
  </w:num>
  <w:num w:numId="3" w16cid:durableId="1655599748">
    <w:abstractNumId w:val="0"/>
  </w:num>
  <w:num w:numId="4" w16cid:durableId="2071803578">
    <w:abstractNumId w:val="1"/>
  </w:num>
  <w:num w:numId="5" w16cid:durableId="198081861">
    <w:abstractNumId w:val="1"/>
  </w:num>
  <w:num w:numId="6" w16cid:durableId="1165435855">
    <w:abstractNumId w:val="5"/>
  </w:num>
  <w:num w:numId="7" w16cid:durableId="1654600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96"/>
    <w:rsid w:val="00066824"/>
    <w:rsid w:val="00097777"/>
    <w:rsid w:val="000C52B3"/>
    <w:rsid w:val="00101AC4"/>
    <w:rsid w:val="00117C4D"/>
    <w:rsid w:val="00276059"/>
    <w:rsid w:val="002C5449"/>
    <w:rsid w:val="002E7072"/>
    <w:rsid w:val="0030241F"/>
    <w:rsid w:val="003040EF"/>
    <w:rsid w:val="003D27AB"/>
    <w:rsid w:val="003D7B4A"/>
    <w:rsid w:val="003E05DE"/>
    <w:rsid w:val="005B3F2A"/>
    <w:rsid w:val="0068406A"/>
    <w:rsid w:val="00737B16"/>
    <w:rsid w:val="007D1EBA"/>
    <w:rsid w:val="008D2587"/>
    <w:rsid w:val="008E05F3"/>
    <w:rsid w:val="00921F7C"/>
    <w:rsid w:val="009435D1"/>
    <w:rsid w:val="009C4F39"/>
    <w:rsid w:val="009E4CE2"/>
    <w:rsid w:val="00A03262"/>
    <w:rsid w:val="00A64B9C"/>
    <w:rsid w:val="00B1466F"/>
    <w:rsid w:val="00D153E7"/>
    <w:rsid w:val="00F2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F23E7"/>
  <w14:defaultImageDpi w14:val="0"/>
  <w15:docId w15:val="{182A2FCC-412E-41A4-83FA-40E7FF21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9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2239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2239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2239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22396"/>
    <w:pPr>
      <w:outlineLvl w:val="3"/>
    </w:pPr>
  </w:style>
  <w:style w:type="paragraph" w:styleId="Heading5">
    <w:name w:val="heading 5"/>
    <w:basedOn w:val="Normal"/>
    <w:next w:val="Normal"/>
    <w:link w:val="Heading5Char"/>
    <w:uiPriority w:val="9"/>
    <w:qFormat/>
    <w:rsid w:val="00F2239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2239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2239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2239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2239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239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2239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2239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2239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2239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22396"/>
    <w:rPr>
      <w:rFonts w:ascii="Times New Roman" w:hAnsi="Times New Roman" w:cs="Times New Roman"/>
      <w:b/>
      <w:bCs/>
    </w:rPr>
  </w:style>
  <w:style w:type="character" w:customStyle="1" w:styleId="Heading7Char">
    <w:name w:val="Heading 7 Char"/>
    <w:basedOn w:val="DefaultParagraphFont"/>
    <w:link w:val="Heading7"/>
    <w:uiPriority w:val="9"/>
    <w:locked/>
    <w:rsid w:val="00F2239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2239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2239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2239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22396"/>
    <w:pPr>
      <w:tabs>
        <w:tab w:val="left" w:pos="720"/>
      </w:tabs>
      <w:suppressAutoHyphens/>
      <w:spacing w:after="0"/>
    </w:pPr>
    <w:rPr>
      <w:rFonts w:cs="Times New Roman"/>
      <w:i/>
      <w:iCs/>
      <w:szCs w:val="24"/>
    </w:rPr>
  </w:style>
  <w:style w:type="paragraph" w:customStyle="1" w:styleId="SJITableText">
    <w:name w:val="SJI Table Text"/>
    <w:basedOn w:val="Normal"/>
    <w:qFormat/>
    <w:rsid w:val="00F2239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22396"/>
    <w:pPr>
      <w:spacing w:before="220"/>
      <w:ind w:firstLine="0"/>
      <w:jc w:val="center"/>
    </w:pPr>
    <w:rPr>
      <w:rFonts w:cs="Courier New"/>
      <w:b/>
    </w:rPr>
  </w:style>
  <w:style w:type="paragraph" w:styleId="ListParagraph">
    <w:name w:val="List Paragraph"/>
    <w:basedOn w:val="Normal"/>
    <w:uiPriority w:val="34"/>
    <w:qFormat/>
    <w:rsid w:val="00F22396"/>
    <w:pPr>
      <w:ind w:left="720"/>
    </w:pPr>
    <w:rPr>
      <w:rFonts w:cs="Times New Roman"/>
    </w:rPr>
  </w:style>
  <w:style w:type="table" w:customStyle="1" w:styleId="TableGrid1">
    <w:name w:val="Table Grid1"/>
    <w:basedOn w:val="TableNormal"/>
    <w:next w:val="TableGrid"/>
    <w:uiPriority w:val="99"/>
    <w:rsid w:val="00F2239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2239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22396"/>
    <w:pPr>
      <w:widowControl w:val="0"/>
      <w:autoSpaceDE w:val="0"/>
      <w:autoSpaceDN w:val="0"/>
      <w:adjustRightInd w:val="0"/>
      <w:ind w:left="1296" w:hanging="576"/>
    </w:pPr>
    <w:rPr>
      <w:rFonts w:cs="Times New Roman"/>
    </w:rPr>
  </w:style>
  <w:style w:type="character" w:customStyle="1" w:styleId="SJIBold">
    <w:name w:val="SJI Bold"/>
    <w:uiPriority w:val="1"/>
    <w:qFormat/>
    <w:rsid w:val="00F22396"/>
    <w:rPr>
      <w:b/>
    </w:rPr>
  </w:style>
  <w:style w:type="paragraph" w:customStyle="1" w:styleId="SJIText">
    <w:name w:val="SJI Text"/>
    <w:basedOn w:val="Normal"/>
    <w:next w:val="Normal"/>
    <w:qFormat/>
    <w:rsid w:val="00F22396"/>
    <w:rPr>
      <w:rFonts w:cs="Times New Roman"/>
    </w:rPr>
  </w:style>
  <w:style w:type="paragraph" w:customStyle="1" w:styleId="SJITableTitle">
    <w:name w:val="SJI Table Title"/>
    <w:basedOn w:val="Normal"/>
    <w:qFormat/>
    <w:rsid w:val="00F2239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2239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22396"/>
    <w:pPr>
      <w:numPr>
        <w:numId w:val="5"/>
      </w:numPr>
    </w:pPr>
  </w:style>
  <w:style w:type="paragraph" w:customStyle="1" w:styleId="SJITableNotation">
    <w:name w:val="SJI Table Notation"/>
    <w:basedOn w:val="SJITableText"/>
    <w:qFormat/>
    <w:rsid w:val="00F22396"/>
    <w:pPr>
      <w:spacing w:before="120" w:after="240"/>
    </w:pPr>
  </w:style>
  <w:style w:type="character" w:customStyle="1" w:styleId="SJIUnderline">
    <w:name w:val="SJI Underline"/>
    <w:uiPriority w:val="1"/>
    <w:qFormat/>
    <w:rsid w:val="00F22396"/>
    <w:rPr>
      <w:rFonts w:ascii="Times New Roman" w:hAnsi="Times New Roman"/>
      <w:sz w:val="28"/>
      <w:u w:val="single"/>
    </w:rPr>
  </w:style>
  <w:style w:type="paragraph" w:styleId="Caption">
    <w:name w:val="caption"/>
    <w:basedOn w:val="Normal"/>
    <w:next w:val="Normal"/>
    <w:uiPriority w:val="35"/>
    <w:semiHidden/>
    <w:unhideWhenUsed/>
    <w:qFormat/>
    <w:rsid w:val="00F2239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22396"/>
    <w:pPr>
      <w:jc w:val="center"/>
    </w:pPr>
    <w:rPr>
      <w:rFonts w:cs="Times New Roman"/>
      <w:b/>
      <w:bCs/>
      <w:sz w:val="28"/>
      <w:szCs w:val="28"/>
    </w:rPr>
  </w:style>
  <w:style w:type="character" w:customStyle="1" w:styleId="TitleChar">
    <w:name w:val="Title Char"/>
    <w:basedOn w:val="DefaultParagraphFont"/>
    <w:link w:val="Title"/>
    <w:uiPriority w:val="10"/>
    <w:locked/>
    <w:rsid w:val="00F2239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2239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2239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2239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22396"/>
    <w:rPr>
      <w:rFonts w:ascii="Bookman Old Style" w:hAnsi="Bookman Old Style" w:cs="Times New Roman"/>
      <w:color w:val="000000"/>
    </w:rPr>
  </w:style>
  <w:style w:type="paragraph" w:styleId="Quote">
    <w:name w:val="Quote"/>
    <w:basedOn w:val="Normal"/>
    <w:next w:val="Normal"/>
    <w:link w:val="QuoteChar"/>
    <w:uiPriority w:val="29"/>
    <w:qFormat/>
    <w:rsid w:val="00F2239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2239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2239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2239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2239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2025-06-30T16:00:00Z</dcterms:created>
  <dcterms:modified xsi:type="dcterms:W3CDTF">2025-07-02T17:10:00Z</dcterms:modified>
</cp:coreProperties>
</file>