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2161E" w14:textId="77777777" w:rsidR="0024049A" w:rsidRPr="00672E8C" w:rsidRDefault="0024049A" w:rsidP="0024049A">
      <w:pPr>
        <w:pStyle w:val="Heading3"/>
      </w:pPr>
      <w:bookmarkStart w:id="0" w:name="_Toc109650614"/>
      <w:bookmarkStart w:id="1" w:name="_Toc110240038"/>
      <w:bookmarkStart w:id="2" w:name="_Toc110600033"/>
      <w:r w:rsidRPr="00672E8C">
        <w:t>14.4 RETAIL THEFT</w:t>
      </w:r>
      <w:bookmarkEnd w:id="0"/>
      <w:bookmarkEnd w:id="1"/>
      <w:bookmarkEnd w:id="2"/>
    </w:p>
    <w:p w14:paraId="46276E0A" w14:textId="520EC06A" w:rsidR="0024049A" w:rsidRPr="00E4384F" w:rsidRDefault="0024049A" w:rsidP="0024049A">
      <w:pPr>
        <w:pStyle w:val="SJIStatuteinTitle"/>
      </w:pPr>
      <w:r w:rsidRPr="00E4384F">
        <w:t>§ 812.015(8)</w:t>
      </w:r>
      <w:r w:rsidR="002B7B8C" w:rsidRPr="00E4384F">
        <w:t>(c)</w:t>
      </w:r>
      <w:r w:rsidRPr="00E4384F">
        <w:t>, Fla. Stat.</w:t>
      </w:r>
      <w:r w:rsidR="00B337D3" w:rsidRPr="00E4384F">
        <w:t>*</w:t>
      </w:r>
    </w:p>
    <w:p w14:paraId="71B55A42" w14:textId="77777777" w:rsidR="0024049A" w:rsidRPr="00672E8C" w:rsidRDefault="0024049A" w:rsidP="0024049A">
      <w:pPr>
        <w:kinsoku w:val="0"/>
        <w:overflowPunct w:val="0"/>
        <w:autoSpaceDE w:val="0"/>
        <w:autoSpaceDN w:val="0"/>
        <w:adjustRightInd w:val="0"/>
        <w:spacing w:before="66"/>
        <w:ind w:left="100" w:right="128" w:firstLine="719"/>
        <w:rPr>
          <w:b/>
          <w:bCs/>
        </w:rPr>
      </w:pPr>
      <w:r w:rsidRPr="00672E8C">
        <w:rPr>
          <w:b/>
          <w:bCs/>
        </w:rPr>
        <w:t>To prove the crime of Retail Theft, the State must prove the following three elements beyond a reasonable doubt:</w:t>
      </w:r>
    </w:p>
    <w:p w14:paraId="55549401" w14:textId="154B9112" w:rsidR="0024049A" w:rsidRPr="00672E8C" w:rsidRDefault="0024049A" w:rsidP="005F42D9">
      <w:pPr>
        <w:pStyle w:val="ListParagraph"/>
        <w:numPr>
          <w:ilvl w:val="3"/>
          <w:numId w:val="2"/>
        </w:numPr>
        <w:tabs>
          <w:tab w:val="left" w:pos="1350"/>
        </w:tabs>
        <w:kinsoku w:val="0"/>
        <w:overflowPunct w:val="0"/>
        <w:autoSpaceDE w:val="0"/>
        <w:autoSpaceDN w:val="0"/>
        <w:adjustRightInd w:val="0"/>
        <w:spacing w:before="219" w:after="160" w:line="240" w:lineRule="auto"/>
        <w:ind w:left="1440" w:hanging="720"/>
        <w:contextualSpacing/>
        <w:rPr>
          <w:b/>
          <w:bCs/>
        </w:rPr>
      </w:pPr>
      <w:r w:rsidRPr="00672E8C">
        <w:t>(Defendant)</w:t>
      </w:r>
      <w:r w:rsidRPr="00672E8C">
        <w:rPr>
          <w:spacing w:val="-1"/>
        </w:rPr>
        <w:t xml:space="preserve"> </w:t>
      </w:r>
    </w:p>
    <w:p w14:paraId="28BED849" w14:textId="798DCC42" w:rsidR="0024049A" w:rsidRPr="002B7B8C" w:rsidRDefault="0024049A" w:rsidP="00F3788F">
      <w:pPr>
        <w:pStyle w:val="SJITextItalic"/>
      </w:pPr>
      <w:r w:rsidRPr="002B7B8C">
        <w:t xml:space="preserve">Give one or </w:t>
      </w:r>
      <w:r w:rsidRPr="00F3788F">
        <w:t>more</w:t>
      </w:r>
      <w:r w:rsidRPr="002B7B8C">
        <w:t xml:space="preserve"> as applicable. </w:t>
      </w:r>
    </w:p>
    <w:p w14:paraId="3C7C2DE7" w14:textId="1F45B784" w:rsidR="0024049A" w:rsidRPr="00E4384F" w:rsidRDefault="0024049A" w:rsidP="0024049A">
      <w:pPr>
        <w:pStyle w:val="ListParagraph"/>
        <w:numPr>
          <w:ilvl w:val="4"/>
          <w:numId w:val="2"/>
        </w:numPr>
        <w:tabs>
          <w:tab w:val="clear" w:pos="3600"/>
        </w:tabs>
        <w:kinsoku w:val="0"/>
        <w:overflowPunct w:val="0"/>
        <w:autoSpaceDE w:val="0"/>
        <w:autoSpaceDN w:val="0"/>
        <w:adjustRightInd w:val="0"/>
        <w:ind w:left="2016" w:hanging="576"/>
        <w:rPr>
          <w:i/>
          <w:iCs/>
        </w:rPr>
      </w:pPr>
      <w:r w:rsidRPr="00672E8C">
        <w:rPr>
          <w:b/>
          <w:bCs/>
        </w:rPr>
        <w:t>took possession of or carried away [merchandise] [property] [money] [negotiable</w:t>
      </w:r>
      <w:r w:rsidRPr="00672E8C">
        <w:rPr>
          <w:b/>
          <w:bCs/>
          <w:spacing w:val="-18"/>
        </w:rPr>
        <w:t xml:space="preserve"> </w:t>
      </w:r>
      <w:r w:rsidRPr="00672E8C">
        <w:rPr>
          <w:b/>
          <w:bCs/>
        </w:rPr>
        <w:t>documents]</w:t>
      </w:r>
      <w:r w:rsidR="002B7B8C">
        <w:rPr>
          <w:b/>
          <w:bCs/>
        </w:rPr>
        <w:t xml:space="preserve"> </w:t>
      </w:r>
      <w:r w:rsidR="002B7B8C" w:rsidRPr="00E4384F">
        <w:rPr>
          <w:b/>
          <w:bCs/>
        </w:rPr>
        <w:t>from a merchant</w:t>
      </w:r>
      <w:r w:rsidRPr="00E4384F">
        <w:rPr>
          <w:b/>
          <w:bCs/>
        </w:rPr>
        <w:t>.</w:t>
      </w:r>
    </w:p>
    <w:p w14:paraId="02F9D867" w14:textId="77777777" w:rsidR="0024049A" w:rsidRPr="00E4384F" w:rsidRDefault="0024049A" w:rsidP="0024049A">
      <w:pPr>
        <w:pStyle w:val="ListParagraph"/>
        <w:numPr>
          <w:ilvl w:val="4"/>
          <w:numId w:val="2"/>
        </w:numPr>
        <w:tabs>
          <w:tab w:val="clear" w:pos="3600"/>
        </w:tabs>
        <w:kinsoku w:val="0"/>
        <w:overflowPunct w:val="0"/>
        <w:autoSpaceDE w:val="0"/>
        <w:autoSpaceDN w:val="0"/>
        <w:adjustRightInd w:val="0"/>
        <w:ind w:left="2016" w:hanging="576"/>
        <w:rPr>
          <w:b/>
          <w:bCs/>
        </w:rPr>
      </w:pPr>
      <w:r w:rsidRPr="00E4384F">
        <w:rPr>
          <w:b/>
          <w:bCs/>
        </w:rPr>
        <w:t>altered or removed a [label] [universal product code] [price tag] from merchandise.</w:t>
      </w:r>
    </w:p>
    <w:p w14:paraId="45EFA6F5" w14:textId="77777777" w:rsidR="0024049A" w:rsidRPr="00E4384F" w:rsidRDefault="0024049A" w:rsidP="0024049A">
      <w:pPr>
        <w:pStyle w:val="ListParagraph"/>
        <w:numPr>
          <w:ilvl w:val="4"/>
          <w:numId w:val="2"/>
        </w:numPr>
        <w:tabs>
          <w:tab w:val="clear" w:pos="3600"/>
        </w:tabs>
        <w:kinsoku w:val="0"/>
        <w:overflowPunct w:val="0"/>
        <w:autoSpaceDE w:val="0"/>
        <w:autoSpaceDN w:val="0"/>
        <w:adjustRightInd w:val="0"/>
        <w:ind w:left="2016" w:hanging="576"/>
        <w:rPr>
          <w:b/>
          <w:bCs/>
        </w:rPr>
      </w:pPr>
      <w:r w:rsidRPr="00E4384F">
        <w:rPr>
          <w:b/>
          <w:bCs/>
        </w:rPr>
        <w:t>transferred merchandise from one container to another.</w:t>
      </w:r>
    </w:p>
    <w:p w14:paraId="15E4E00C" w14:textId="0CAA33FA" w:rsidR="0024049A" w:rsidRPr="00E4384F" w:rsidRDefault="0024049A" w:rsidP="0024049A">
      <w:pPr>
        <w:pStyle w:val="ListParagraph"/>
        <w:numPr>
          <w:ilvl w:val="4"/>
          <w:numId w:val="2"/>
        </w:numPr>
        <w:tabs>
          <w:tab w:val="clear" w:pos="3600"/>
        </w:tabs>
        <w:kinsoku w:val="0"/>
        <w:overflowPunct w:val="0"/>
        <w:autoSpaceDE w:val="0"/>
        <w:autoSpaceDN w:val="0"/>
        <w:adjustRightInd w:val="0"/>
        <w:ind w:left="2016" w:hanging="576"/>
        <w:rPr>
          <w:b/>
          <w:bCs/>
        </w:rPr>
      </w:pPr>
      <w:r w:rsidRPr="00E4384F">
        <w:rPr>
          <w:b/>
          <w:bCs/>
        </w:rPr>
        <w:t>removed a shopping cart</w:t>
      </w:r>
      <w:r w:rsidR="002B7B8C" w:rsidRPr="00E4384F">
        <w:rPr>
          <w:b/>
          <w:bCs/>
        </w:rPr>
        <w:t xml:space="preserve"> from a merchant</w:t>
      </w:r>
      <w:r w:rsidRPr="00E4384F">
        <w:rPr>
          <w:b/>
          <w:bCs/>
        </w:rPr>
        <w:t>.</w:t>
      </w:r>
    </w:p>
    <w:p w14:paraId="0873EB14" w14:textId="77777777" w:rsidR="0024049A" w:rsidRPr="00672E8C" w:rsidRDefault="0024049A" w:rsidP="0024049A">
      <w:pPr>
        <w:kinsoku w:val="0"/>
        <w:overflowPunct w:val="0"/>
        <w:autoSpaceDE w:val="0"/>
        <w:autoSpaceDN w:val="0"/>
        <w:adjustRightInd w:val="0"/>
        <w:ind w:left="1296" w:hanging="576"/>
        <w:rPr>
          <w:b/>
          <w:bCs/>
        </w:rPr>
      </w:pPr>
      <w:r w:rsidRPr="00672E8C">
        <w:rPr>
          <w:b/>
          <w:bCs/>
        </w:rPr>
        <w:t>2.</w:t>
      </w:r>
      <w:r w:rsidRPr="00672E8C">
        <w:rPr>
          <w:b/>
          <w:bCs/>
        </w:rPr>
        <w:tab/>
      </w:r>
      <w:r w:rsidRPr="00672E8C">
        <w:t xml:space="preserve">(Defendant) </w:t>
      </w:r>
      <w:r w:rsidRPr="00672E8C">
        <w:rPr>
          <w:b/>
          <w:bCs/>
        </w:rPr>
        <w:t>did so with the intent to deprive the merchant of possession, use, benefit, or full retail value of the [merchandise] [property] [money] [negotiable documents] [shopping cart].</w:t>
      </w:r>
    </w:p>
    <w:p w14:paraId="064B9AF9" w14:textId="0ECB3B0B" w:rsidR="002B7B8C" w:rsidRPr="00E4384F" w:rsidRDefault="0024049A" w:rsidP="00B337D3">
      <w:pPr>
        <w:kinsoku w:val="0"/>
        <w:overflowPunct w:val="0"/>
        <w:autoSpaceDE w:val="0"/>
        <w:autoSpaceDN w:val="0"/>
        <w:adjustRightInd w:val="0"/>
        <w:ind w:left="1296" w:hanging="576"/>
        <w:rPr>
          <w:b/>
          <w:bCs/>
          <w:strike/>
        </w:rPr>
      </w:pPr>
      <w:r w:rsidRPr="00B337D3">
        <w:rPr>
          <w:b/>
          <w:bCs/>
        </w:rPr>
        <w:t>3.</w:t>
      </w:r>
      <w:r w:rsidRPr="00B337D3">
        <w:rPr>
          <w:b/>
          <w:bCs/>
        </w:rPr>
        <w:tab/>
      </w:r>
      <w:r w:rsidR="002B7B8C" w:rsidRPr="00E4384F">
        <w:t>(Defendant)</w:t>
      </w:r>
      <w:r w:rsidR="00F018DD" w:rsidRPr="00E4384F">
        <w:t xml:space="preserve"> </w:t>
      </w:r>
      <w:r w:rsidR="00F018DD" w:rsidRPr="00E4384F">
        <w:rPr>
          <w:b/>
          <w:bCs/>
        </w:rPr>
        <w:t xml:space="preserve">[, acting individually or in </w:t>
      </w:r>
      <w:r w:rsidR="00F018DD" w:rsidRPr="0047409C">
        <w:rPr>
          <w:b/>
          <w:bCs/>
        </w:rPr>
        <w:t>concert with one or more other persons,]</w:t>
      </w:r>
      <w:r w:rsidR="002B7B8C" w:rsidRPr="0047409C">
        <w:t xml:space="preserve"> </w:t>
      </w:r>
      <w:r w:rsidR="002B7B8C" w:rsidRPr="0047409C">
        <w:rPr>
          <w:b/>
          <w:bCs/>
        </w:rPr>
        <w:t>did so</w:t>
      </w:r>
      <w:r w:rsidR="002B7B8C" w:rsidRPr="0047409C">
        <w:t xml:space="preserve"> </w:t>
      </w:r>
      <w:r w:rsidR="002B7B8C" w:rsidRPr="0047409C">
        <w:rPr>
          <w:b/>
          <w:bCs/>
        </w:rPr>
        <w:t xml:space="preserve">from more than one location within a </w:t>
      </w:r>
      <w:r w:rsidR="008551FD" w:rsidRPr="006E10DC">
        <w:rPr>
          <w:b/>
          <w:bCs/>
        </w:rPr>
        <w:t>120</w:t>
      </w:r>
      <w:r w:rsidR="002B7B8C" w:rsidRPr="006E10DC">
        <w:rPr>
          <w:b/>
          <w:bCs/>
        </w:rPr>
        <w:t>-</w:t>
      </w:r>
      <w:r w:rsidR="002B7B8C" w:rsidRPr="0047409C">
        <w:rPr>
          <w:b/>
          <w:bCs/>
        </w:rPr>
        <w:t>day period, and the total value of the [merchandise] [property] [money] [negotiable</w:t>
      </w:r>
      <w:r w:rsidR="002B7B8C" w:rsidRPr="0047409C">
        <w:rPr>
          <w:b/>
          <w:bCs/>
          <w:spacing w:val="-18"/>
        </w:rPr>
        <w:t xml:space="preserve"> </w:t>
      </w:r>
      <w:r w:rsidR="002B7B8C" w:rsidRPr="0047409C">
        <w:rPr>
          <w:b/>
          <w:bCs/>
        </w:rPr>
        <w:t>documents] [shopping cart] when added together was $750 or more.</w:t>
      </w:r>
      <w:r w:rsidR="002B7B8C" w:rsidRPr="00E4384F">
        <w:rPr>
          <w:b/>
          <w:bCs/>
        </w:rPr>
        <w:t xml:space="preserve"> </w:t>
      </w:r>
    </w:p>
    <w:p w14:paraId="1D088E2B" w14:textId="23278B3C" w:rsidR="00B337D3" w:rsidRPr="00E4384F" w:rsidRDefault="00B337D3" w:rsidP="00B337D3">
      <w:pPr>
        <w:rPr>
          <w:b/>
          <w:bCs/>
        </w:rPr>
      </w:pPr>
      <w:r w:rsidRPr="00E4384F">
        <w:rPr>
          <w:b/>
          <w:bCs/>
        </w:rPr>
        <w:t>“Merchandise” means any personal property, capable of manual delivery, displayed, held</w:t>
      </w:r>
      <w:r w:rsidR="00E4384F">
        <w:rPr>
          <w:b/>
          <w:bCs/>
        </w:rPr>
        <w:t>,</w:t>
      </w:r>
      <w:r w:rsidRPr="00E4384F">
        <w:rPr>
          <w:b/>
          <w:bCs/>
        </w:rPr>
        <w:t xml:space="preserve"> or offered for retail sale by a merchant.</w:t>
      </w:r>
    </w:p>
    <w:p w14:paraId="5A54FA1E" w14:textId="77777777" w:rsidR="00B337D3" w:rsidRPr="00E4384F" w:rsidRDefault="00B337D3" w:rsidP="00B337D3">
      <w:pPr>
        <w:rPr>
          <w:b/>
          <w:bCs/>
        </w:rPr>
      </w:pPr>
      <w:r w:rsidRPr="00E4384F">
        <w:rPr>
          <w:b/>
          <w:bCs/>
        </w:rPr>
        <w:t>“Merchant” means an owner or operator, or the agent, consignee, employee, lessee, or officer of an owner or operator, of any premises or apparatus used for retail purchase or sale of any merchandise.</w:t>
      </w:r>
    </w:p>
    <w:p w14:paraId="370375F7" w14:textId="77777777" w:rsidR="00B337D3" w:rsidRPr="00E4384F" w:rsidRDefault="00B337D3" w:rsidP="00B337D3">
      <w:pPr>
        <w:rPr>
          <w:b/>
          <w:bCs/>
        </w:rPr>
      </w:pPr>
      <w:r w:rsidRPr="00E4384F">
        <w:rPr>
          <w:b/>
          <w:bCs/>
        </w:rPr>
        <w:t>“Value of merchandise” means the sale price of the merchandise at the time it was stolen or otherwise removed, depriving the owner of her or his lawful right to ownership and sale of said item.</w:t>
      </w:r>
    </w:p>
    <w:p w14:paraId="2E628A2A" w14:textId="77777777" w:rsidR="0024049A" w:rsidRPr="00672E8C" w:rsidRDefault="0024049A" w:rsidP="0024049A">
      <w:pPr>
        <w:pStyle w:val="SJITextItalic"/>
      </w:pPr>
      <w:r w:rsidRPr="00672E8C">
        <w:t>Theft of an Instrument.</w:t>
      </w:r>
    </w:p>
    <w:p w14:paraId="155B3B43" w14:textId="77777777" w:rsidR="0024049A" w:rsidRPr="00672E8C" w:rsidRDefault="0024049A" w:rsidP="0024049A">
      <w:pPr>
        <w:kinsoku w:val="0"/>
        <w:overflowPunct w:val="0"/>
        <w:autoSpaceDE w:val="0"/>
        <w:autoSpaceDN w:val="0"/>
        <w:adjustRightInd w:val="0"/>
        <w:spacing w:before="25"/>
        <w:ind w:right="506"/>
        <w:rPr>
          <w:b/>
          <w:bCs/>
        </w:rPr>
      </w:pPr>
      <w:r w:rsidRPr="00672E8C">
        <w:rPr>
          <w:b/>
          <w:bCs/>
        </w:rPr>
        <w:t>In the case of a written instrument that does not have a readily ascertainable market value, such as a check, draft, or promissory note, the value is the amount due or collectible.</w:t>
      </w:r>
    </w:p>
    <w:p w14:paraId="67FD302F" w14:textId="77777777" w:rsidR="0024049A" w:rsidRDefault="0024049A" w:rsidP="0024049A">
      <w:pPr>
        <w:rPr>
          <w:b/>
          <w:bCs/>
        </w:rPr>
      </w:pPr>
      <w:r w:rsidRPr="00776EA8">
        <w:rPr>
          <w:b/>
          <w:bCs/>
        </w:rPr>
        <w:t>In the case of any other instrument that creates, releases, discharges or otherwise affects any valuable legal right, privilege, or obligation, the value is the greatest amount of economic loss that the owner of the instrument might reasonably suffer by virtue of the loss of the instrument.</w:t>
      </w:r>
    </w:p>
    <w:p w14:paraId="6186165E" w14:textId="32507456" w:rsidR="0008294C" w:rsidRPr="009C49D3" w:rsidRDefault="0008294C" w:rsidP="00295CED">
      <w:pPr>
        <w:spacing w:after="0"/>
        <w:rPr>
          <w:i/>
          <w:iCs/>
        </w:rPr>
      </w:pPr>
      <w:r w:rsidRPr="009C49D3">
        <w:rPr>
          <w:i/>
          <w:iCs/>
        </w:rPr>
        <w:lastRenderedPageBreak/>
        <w:t xml:space="preserve">Give if applicable. </w:t>
      </w:r>
      <w:r w:rsidR="00295CED" w:rsidRPr="009C49D3">
        <w:rPr>
          <w:i/>
          <w:iCs/>
        </w:rPr>
        <w:t xml:space="preserve">Firearm. § 812.015(11), Fla. Stat. </w:t>
      </w:r>
      <w:r w:rsidRPr="009C49D3">
        <w:rPr>
          <w:i/>
          <w:iCs/>
        </w:rPr>
        <w:t>Retail Theft is bumped up to first degree felony if the defendant possessed a firearm during the commission of the crime.</w:t>
      </w:r>
      <w:r w:rsidR="00FA301D" w:rsidRPr="009C49D3">
        <w:rPr>
          <w:i/>
          <w:iCs/>
        </w:rPr>
        <w:t xml:space="preserve"> </w:t>
      </w:r>
      <w:r w:rsidRPr="009C49D3">
        <w:rPr>
          <w:i/>
          <w:iCs/>
        </w:rPr>
        <w:t xml:space="preserve"> </w:t>
      </w:r>
    </w:p>
    <w:p w14:paraId="424BA9C0" w14:textId="4116F74A" w:rsidR="0008294C" w:rsidRPr="009C49D3" w:rsidRDefault="0008294C" w:rsidP="0008294C">
      <w:pPr>
        <w:rPr>
          <w:b/>
          <w:bCs/>
        </w:rPr>
      </w:pPr>
      <w:r w:rsidRPr="009C49D3">
        <w:rPr>
          <w:b/>
          <w:bCs/>
        </w:rPr>
        <w:t xml:space="preserve">You must also determine whether the State prove beyond a reasonable doubt that the defendant possessed a firearm during the commission of the Retail Theft. </w:t>
      </w:r>
    </w:p>
    <w:p w14:paraId="3C64E056" w14:textId="77777777" w:rsidR="0008294C" w:rsidRPr="009C49D3" w:rsidRDefault="0008294C" w:rsidP="0008294C">
      <w:pPr>
        <w:rPr>
          <w:b/>
          <w:bCs/>
          <w:i/>
        </w:rPr>
      </w:pPr>
      <w:r w:rsidRPr="009C49D3">
        <w:rPr>
          <w:b/>
        </w:rPr>
        <w:t xml:space="preserve">A “firearm” </w:t>
      </w:r>
      <w:r w:rsidRPr="009C49D3">
        <w:rPr>
          <w:b/>
          <w:bCs/>
        </w:rPr>
        <w:t xml:space="preserve">means any weapon [including a starter gun] which will, is designed to, or may readily be converted to expel a projectile by the action of an explosive; [the frame or receiver of any such weapon;] [any firearm muffler or firearm silencer;] [any destructive device;] [any machine gun]. [The term “firearm” does not include an antique firearm unless the antique firearm is used in the commission of another crime. </w:t>
      </w:r>
      <w:r w:rsidRPr="009C49D3">
        <w:rPr>
          <w:b/>
        </w:rPr>
        <w:t xml:space="preserve">An antique firearm is </w:t>
      </w:r>
      <w:r w:rsidRPr="009C49D3">
        <w:rPr>
          <w:bCs/>
          <w:i/>
        </w:rPr>
        <w:t>(insert definition in             § 790.001, Fla. Stat.</w:t>
      </w:r>
      <w:r w:rsidRPr="009C49D3">
        <w:rPr>
          <w:b/>
          <w:bCs/>
        </w:rPr>
        <w:t xml:space="preserve">]. [A destructive device is </w:t>
      </w:r>
      <w:r w:rsidRPr="009C49D3">
        <w:rPr>
          <w:bCs/>
          <w:i/>
        </w:rPr>
        <w:t>(insert definition in</w:t>
      </w:r>
      <w:r w:rsidRPr="009C49D3">
        <w:rPr>
          <w:i/>
        </w:rPr>
        <w:t xml:space="preserve"> § 790.001, Fla. Stat.</w:t>
      </w:r>
      <w:r w:rsidRPr="009C49D3">
        <w:rPr>
          <w:b/>
        </w:rPr>
        <w:t>]</w:t>
      </w:r>
      <w:r w:rsidRPr="009C49D3">
        <w:rPr>
          <w:b/>
          <w:bCs/>
          <w:i/>
        </w:rPr>
        <w:t>.</w:t>
      </w:r>
    </w:p>
    <w:p w14:paraId="75F1C55B" w14:textId="19F609C9" w:rsidR="0008294C" w:rsidRPr="009C49D3" w:rsidRDefault="0008294C" w:rsidP="0008294C">
      <w:pPr>
        <w:rPr>
          <w:b/>
        </w:rPr>
      </w:pPr>
      <w:r w:rsidRPr="009C49D3">
        <w:rPr>
          <w:b/>
        </w:rPr>
        <w:t xml:space="preserve">To prove </w:t>
      </w:r>
      <w:r w:rsidRPr="009C49D3">
        <w:t xml:space="preserve">(defendant) </w:t>
      </w:r>
      <w:r w:rsidR="00FA301D" w:rsidRPr="009C49D3">
        <w:rPr>
          <w:b/>
        </w:rPr>
        <w:t>“</w:t>
      </w:r>
      <w:r w:rsidRPr="009C49D3">
        <w:rPr>
          <w:b/>
        </w:rPr>
        <w:t>possessed” a firearm, the State must prove beyond a reasonable doubt that [he] [she] a) knew of the existence of the firearm</w:t>
      </w:r>
      <w:r w:rsidR="00FA301D" w:rsidRPr="009C49D3">
        <w:rPr>
          <w:b/>
        </w:rPr>
        <w:t>;</w:t>
      </w:r>
      <w:r w:rsidRPr="009C49D3">
        <w:rPr>
          <w:b/>
        </w:rPr>
        <w:t xml:space="preserve"> and</w:t>
      </w:r>
      <w:r w:rsidR="00FA301D" w:rsidRPr="009C49D3">
        <w:rPr>
          <w:b/>
        </w:rPr>
        <w:t xml:space="preserve"> </w:t>
      </w:r>
      <w:r w:rsidRPr="009C49D3">
        <w:rPr>
          <w:b/>
        </w:rPr>
        <w:t xml:space="preserve">b) intentionally exercised control over it. </w:t>
      </w:r>
    </w:p>
    <w:p w14:paraId="7B54CA6E" w14:textId="776540EB" w:rsidR="0008294C" w:rsidRPr="009C49D3" w:rsidRDefault="0008294C" w:rsidP="0008294C">
      <w:pPr>
        <w:rPr>
          <w:b/>
          <w:bCs/>
        </w:rPr>
      </w:pPr>
      <w:r w:rsidRPr="009C49D3">
        <w:rPr>
          <w:b/>
          <w:bCs/>
        </w:rPr>
        <w:t>Control can be exercised over a firearm</w:t>
      </w:r>
      <w:r w:rsidR="00FA301D" w:rsidRPr="009C49D3">
        <w:rPr>
          <w:b/>
          <w:bCs/>
        </w:rPr>
        <w:t xml:space="preserve"> </w:t>
      </w:r>
      <w:r w:rsidRPr="009C49D3">
        <w:rPr>
          <w:b/>
          <w:bCs/>
        </w:rPr>
        <w:t xml:space="preserve">whether it is carried on a person, near a person, or in </w:t>
      </w:r>
      <w:proofErr w:type="gramStart"/>
      <w:r w:rsidRPr="009C49D3">
        <w:rPr>
          <w:b/>
          <w:bCs/>
        </w:rPr>
        <w:t>a completely separate</w:t>
      </w:r>
      <w:proofErr w:type="gramEnd"/>
      <w:r w:rsidRPr="009C49D3">
        <w:rPr>
          <w:b/>
          <w:bCs/>
        </w:rPr>
        <w:t xml:space="preserve"> location.</w:t>
      </w:r>
      <w:r w:rsidR="00AD1E50">
        <w:rPr>
          <w:b/>
          <w:bCs/>
        </w:rPr>
        <w:t xml:space="preserve"> </w:t>
      </w:r>
      <w:r w:rsidRPr="009C49D3">
        <w:rPr>
          <w:b/>
          <w:bCs/>
        </w:rPr>
        <w:t xml:space="preserve">Mere proximity to a firearm does not establish that the person intentionally exercised control over it in the absence of additional evidence. Control can be established by proof that </w:t>
      </w:r>
      <w:r w:rsidRPr="009C49D3">
        <w:t>(defendant)</w:t>
      </w:r>
      <w:r w:rsidRPr="009C49D3">
        <w:rPr>
          <w:b/>
          <w:bCs/>
        </w:rPr>
        <w:t xml:space="preserve"> had direct personal power to control the firearm</w:t>
      </w:r>
      <w:r w:rsidR="00FA301D" w:rsidRPr="009C49D3">
        <w:rPr>
          <w:b/>
          <w:bCs/>
        </w:rPr>
        <w:t xml:space="preserve"> o</w:t>
      </w:r>
      <w:r w:rsidRPr="009C49D3">
        <w:rPr>
          <w:b/>
          <w:bCs/>
        </w:rPr>
        <w:t xml:space="preserve">r the present ability to direct its control by another. </w:t>
      </w:r>
    </w:p>
    <w:p w14:paraId="7EE6D518" w14:textId="0A1A932E" w:rsidR="0008294C" w:rsidRPr="009C49D3" w:rsidRDefault="0008294C" w:rsidP="0008294C">
      <w:pPr>
        <w:pStyle w:val="SJITextItalic"/>
      </w:pPr>
      <w:r w:rsidRPr="009C49D3">
        <w:t>Give if applicable</w:t>
      </w:r>
      <w:r w:rsidR="00FA301D" w:rsidRPr="009C49D3">
        <w:t>.</w:t>
      </w:r>
      <w:r w:rsidRPr="009C49D3">
        <w:t xml:space="preserve"> </w:t>
      </w:r>
    </w:p>
    <w:p w14:paraId="7889F2BA" w14:textId="470CDEE9" w:rsidR="0008294C" w:rsidRPr="009C49D3" w:rsidRDefault="0008294C" w:rsidP="0008294C">
      <w:pPr>
        <w:rPr>
          <w:b/>
        </w:rPr>
      </w:pPr>
      <w:r w:rsidRPr="009C49D3">
        <w:rPr>
          <w:b/>
        </w:rPr>
        <w:t>Possession of a firearm may be sole or joint, that is, two or more persons may possess it.</w:t>
      </w:r>
    </w:p>
    <w:p w14:paraId="0CCCFFED" w14:textId="388D0628" w:rsidR="008551FD" w:rsidRPr="009C49D3" w:rsidRDefault="00FA301D" w:rsidP="008551FD">
      <w:pPr>
        <w:spacing w:after="0"/>
        <w:rPr>
          <w:bCs/>
          <w:i/>
          <w:iCs/>
        </w:rPr>
      </w:pPr>
      <w:r w:rsidRPr="009C49D3">
        <w:rPr>
          <w:bCs/>
          <w:i/>
          <w:iCs/>
        </w:rPr>
        <w:t xml:space="preserve">Prior conviction. </w:t>
      </w:r>
      <w:r w:rsidR="008551FD" w:rsidRPr="009C49D3">
        <w:rPr>
          <w:bCs/>
          <w:i/>
          <w:iCs/>
        </w:rPr>
        <w:t xml:space="preserve">It is error to inform the jury of a prior </w:t>
      </w:r>
      <w:r w:rsidRPr="009C49D3">
        <w:rPr>
          <w:bCs/>
          <w:i/>
          <w:iCs/>
        </w:rPr>
        <w:t>Retail T</w:t>
      </w:r>
      <w:r w:rsidR="008551FD" w:rsidRPr="009C49D3">
        <w:rPr>
          <w:bCs/>
          <w:i/>
          <w:iCs/>
        </w:rPr>
        <w:t xml:space="preserve">heft conviction. If the charging document contains an allegation of </w:t>
      </w:r>
      <w:r w:rsidR="0008294C" w:rsidRPr="009C49D3">
        <w:rPr>
          <w:bCs/>
          <w:i/>
          <w:iCs/>
        </w:rPr>
        <w:t xml:space="preserve">Retail Theft </w:t>
      </w:r>
      <w:r w:rsidR="008551FD" w:rsidRPr="009C49D3">
        <w:rPr>
          <w:bCs/>
          <w:i/>
          <w:iCs/>
        </w:rPr>
        <w:t>convictions, do not read that allegation</w:t>
      </w:r>
      <w:r w:rsidRPr="009C49D3">
        <w:rPr>
          <w:bCs/>
          <w:i/>
          <w:iCs/>
        </w:rPr>
        <w:t>,</w:t>
      </w:r>
      <w:r w:rsidR="008551FD" w:rsidRPr="009C49D3">
        <w:rPr>
          <w:bCs/>
          <w:i/>
          <w:iCs/>
        </w:rPr>
        <w:t xml:space="preserve"> and do not send the charging document into the jury room. If the defendant is found guilty of </w:t>
      </w:r>
      <w:r w:rsidR="0008294C" w:rsidRPr="009C49D3">
        <w:rPr>
          <w:bCs/>
          <w:i/>
          <w:iCs/>
        </w:rPr>
        <w:t>Retail Theft</w:t>
      </w:r>
      <w:r w:rsidR="008551FD" w:rsidRPr="009C49D3">
        <w:rPr>
          <w:bCs/>
          <w:i/>
          <w:iCs/>
        </w:rPr>
        <w:t>, the historical fact of previous conviction</w:t>
      </w:r>
      <w:r w:rsidR="00295CED" w:rsidRPr="009C49D3">
        <w:rPr>
          <w:bCs/>
          <w:i/>
          <w:iCs/>
        </w:rPr>
        <w:t>s</w:t>
      </w:r>
      <w:r w:rsidR="008551FD" w:rsidRPr="009C49D3">
        <w:rPr>
          <w:bCs/>
          <w:i/>
          <w:iCs/>
        </w:rPr>
        <w:t xml:space="preserve"> must be determined beyond a reasonable doubt in a bifurcated proceeding. State v. Harbaugh, 754 So. 2d 691 (Fla. 2000). </w:t>
      </w:r>
      <w:r w:rsidRPr="009C49D3">
        <w:rPr>
          <w:bCs/>
          <w:i/>
          <w:iCs/>
        </w:rPr>
        <w:t xml:space="preserve">As of November 2024, it was undetermined whether a conviction requires an adjudication of guilt for purposes of the Retail Theft statute. </w:t>
      </w:r>
    </w:p>
    <w:p w14:paraId="6CDC7721" w14:textId="44E94F57" w:rsidR="00D835B7" w:rsidRDefault="008551FD" w:rsidP="008551FD">
      <w:pPr>
        <w:rPr>
          <w:b/>
          <w:bCs/>
        </w:rPr>
      </w:pPr>
      <w:r w:rsidRPr="009C49D3">
        <w:rPr>
          <w:b/>
          <w:bCs/>
        </w:rPr>
        <w:t xml:space="preserve">Now that you have found the defendant guilty of </w:t>
      </w:r>
      <w:r w:rsidR="00FA301D" w:rsidRPr="009C49D3">
        <w:rPr>
          <w:b/>
          <w:bCs/>
        </w:rPr>
        <w:t xml:space="preserve">Retail </w:t>
      </w:r>
      <w:r w:rsidRPr="009C49D3">
        <w:rPr>
          <w:b/>
          <w:bCs/>
        </w:rPr>
        <w:t>Theft, you must further determine whether the State has proven beyond a reasonable doubt that the defendant was previously convicted two or more times</w:t>
      </w:r>
      <w:r w:rsidR="00FA301D" w:rsidRPr="009C49D3">
        <w:rPr>
          <w:b/>
          <w:bCs/>
        </w:rPr>
        <w:t xml:space="preserve"> of Retail Theft under either § 812.015(8), Florida Statutes, or § 812.015(9), Florida Statutes</w:t>
      </w:r>
      <w:r w:rsidRPr="009C49D3">
        <w:rPr>
          <w:b/>
          <w:bCs/>
        </w:rPr>
        <w:t xml:space="preserve">. </w:t>
      </w:r>
    </w:p>
    <w:p w14:paraId="4595A355" w14:textId="77777777" w:rsidR="00D835B7" w:rsidRDefault="00D835B7">
      <w:pPr>
        <w:spacing w:after="160"/>
        <w:ind w:firstLine="0"/>
        <w:rPr>
          <w:b/>
          <w:bCs/>
        </w:rPr>
      </w:pPr>
      <w:r>
        <w:rPr>
          <w:b/>
          <w:bCs/>
        </w:rPr>
        <w:br w:type="page"/>
      </w:r>
    </w:p>
    <w:p w14:paraId="67C097BD" w14:textId="6E6334D0" w:rsidR="0024049A" w:rsidRPr="00672E8C" w:rsidRDefault="0024049A" w:rsidP="0024049A">
      <w:pPr>
        <w:pStyle w:val="SJIComments"/>
      </w:pPr>
      <w:r w:rsidRPr="00672E8C">
        <w:lastRenderedPageBreak/>
        <w:t>Lesser Included Offenses</w:t>
      </w:r>
    </w:p>
    <w:p w14:paraId="628A1210" w14:textId="5258F24F" w:rsidR="0024049A" w:rsidRPr="00672E8C" w:rsidRDefault="0024049A" w:rsidP="0024049A">
      <w:pPr>
        <w:pStyle w:val="Heading4"/>
        <w:rPr>
          <w:u w:val="single"/>
        </w:rPr>
      </w:pPr>
      <w:bookmarkStart w:id="3" w:name="_Toc109650615"/>
      <w:r w:rsidRPr="00672E8C">
        <w:t>RETAIL THEFT —— 812.015(8</w:t>
      </w:r>
      <w:r w:rsidRPr="00E4384F">
        <w:t>)</w:t>
      </w:r>
      <w:r w:rsidR="008C0C96" w:rsidRPr="00E4384F">
        <w:t>(</w:t>
      </w:r>
      <w:r w:rsidR="008C0C96" w:rsidRPr="00E4384F">
        <w:rPr>
          <w:caps w:val="0"/>
        </w:rPr>
        <w:t>c</w:t>
      </w:r>
      <w:r w:rsidR="008C0C96" w:rsidRPr="00E4384F">
        <w:t>)</w:t>
      </w:r>
      <w:r w:rsidRPr="008C0C96">
        <w:t xml:space="preserve"> </w:t>
      </w:r>
      <w:bookmarkEnd w:id="3"/>
    </w:p>
    <w:tbl>
      <w:tblPr>
        <w:tblStyle w:val="TableGrid1"/>
        <w:tblW w:w="5000" w:type="pct"/>
        <w:tblLook w:val="0020" w:firstRow="1" w:lastRow="0" w:firstColumn="0" w:lastColumn="0" w:noHBand="0" w:noVBand="0"/>
      </w:tblPr>
      <w:tblGrid>
        <w:gridCol w:w="3024"/>
        <w:gridCol w:w="2573"/>
        <w:gridCol w:w="2345"/>
        <w:gridCol w:w="1408"/>
      </w:tblGrid>
      <w:tr w:rsidR="0024049A" w:rsidRPr="00672E8C" w14:paraId="6DFCA02E" w14:textId="77777777" w:rsidTr="00E96A21">
        <w:trPr>
          <w:cnfStyle w:val="100000000000" w:firstRow="1" w:lastRow="0" w:firstColumn="0" w:lastColumn="0" w:oddVBand="0" w:evenVBand="0" w:oddHBand="0" w:evenHBand="0" w:firstRowFirstColumn="0" w:firstRowLastColumn="0" w:lastRowFirstColumn="0" w:lastRowLastColumn="0"/>
        </w:trPr>
        <w:tc>
          <w:tcPr>
            <w:tcW w:w="1617" w:type="pct"/>
          </w:tcPr>
          <w:p w14:paraId="65E3D8EF" w14:textId="77777777" w:rsidR="0024049A" w:rsidRPr="00672E8C" w:rsidRDefault="0024049A" w:rsidP="00E96A21">
            <w:pPr>
              <w:pStyle w:val="SJITableText"/>
            </w:pPr>
            <w:r w:rsidRPr="00672E8C">
              <w:t>CATEGORY ONE</w:t>
            </w:r>
          </w:p>
        </w:tc>
        <w:tc>
          <w:tcPr>
            <w:tcW w:w="1376" w:type="pct"/>
          </w:tcPr>
          <w:p w14:paraId="710642F4" w14:textId="77777777" w:rsidR="0024049A" w:rsidRPr="00672E8C" w:rsidRDefault="0024049A" w:rsidP="00E96A21">
            <w:pPr>
              <w:pStyle w:val="SJITableText"/>
            </w:pPr>
            <w:r w:rsidRPr="00672E8C">
              <w:t>CATEGORY TWO</w:t>
            </w:r>
          </w:p>
        </w:tc>
        <w:tc>
          <w:tcPr>
            <w:tcW w:w="1254" w:type="pct"/>
          </w:tcPr>
          <w:p w14:paraId="18438DB1" w14:textId="77777777" w:rsidR="0024049A" w:rsidRPr="00672E8C" w:rsidRDefault="0024049A" w:rsidP="00E96A21">
            <w:pPr>
              <w:pStyle w:val="SJITableText"/>
            </w:pPr>
            <w:r w:rsidRPr="00672E8C">
              <w:t>FLA. STAT.</w:t>
            </w:r>
          </w:p>
        </w:tc>
        <w:tc>
          <w:tcPr>
            <w:tcW w:w="753" w:type="pct"/>
          </w:tcPr>
          <w:p w14:paraId="729F8D4C" w14:textId="77777777" w:rsidR="0024049A" w:rsidRPr="00672E8C" w:rsidRDefault="0024049A" w:rsidP="00E96A21">
            <w:pPr>
              <w:pStyle w:val="SJITableText"/>
            </w:pPr>
            <w:r w:rsidRPr="00672E8C">
              <w:t>INS. NO.</w:t>
            </w:r>
          </w:p>
        </w:tc>
      </w:tr>
      <w:tr w:rsidR="0024049A" w:rsidRPr="00672E8C" w14:paraId="5607F48F" w14:textId="77777777" w:rsidTr="00E96A21">
        <w:tc>
          <w:tcPr>
            <w:tcW w:w="1617" w:type="pct"/>
          </w:tcPr>
          <w:p w14:paraId="0F9A036B" w14:textId="1A290224" w:rsidR="0024049A" w:rsidRPr="00E4384F" w:rsidRDefault="0024049A" w:rsidP="00E96A21">
            <w:pPr>
              <w:pStyle w:val="SJITableText"/>
            </w:pPr>
            <w:r w:rsidRPr="00E4384F">
              <w:t>Grand theft</w:t>
            </w:r>
          </w:p>
        </w:tc>
        <w:tc>
          <w:tcPr>
            <w:tcW w:w="1376" w:type="pct"/>
          </w:tcPr>
          <w:p w14:paraId="2281D958" w14:textId="77777777" w:rsidR="0024049A" w:rsidRPr="00E4384F" w:rsidRDefault="0024049A" w:rsidP="00E96A21">
            <w:pPr>
              <w:pStyle w:val="SJITableText"/>
              <w:rPr>
                <w:b/>
              </w:rPr>
            </w:pPr>
          </w:p>
        </w:tc>
        <w:tc>
          <w:tcPr>
            <w:tcW w:w="1254" w:type="pct"/>
          </w:tcPr>
          <w:p w14:paraId="6A7BC4A8" w14:textId="77777777" w:rsidR="0024049A" w:rsidRPr="00E4384F" w:rsidRDefault="0024049A" w:rsidP="00E96A21">
            <w:pPr>
              <w:pStyle w:val="SJITableText"/>
            </w:pPr>
            <w:r w:rsidRPr="00E4384F">
              <w:t>812.014(2)(c)</w:t>
            </w:r>
          </w:p>
        </w:tc>
        <w:tc>
          <w:tcPr>
            <w:tcW w:w="753" w:type="pct"/>
          </w:tcPr>
          <w:p w14:paraId="29344A02" w14:textId="77777777" w:rsidR="0024049A" w:rsidRPr="00E4384F" w:rsidRDefault="0024049A" w:rsidP="00E96A21">
            <w:pPr>
              <w:pStyle w:val="SJITableText"/>
            </w:pPr>
            <w:r w:rsidRPr="00E4384F">
              <w:t>14.1</w:t>
            </w:r>
          </w:p>
        </w:tc>
      </w:tr>
      <w:tr w:rsidR="0024049A" w:rsidRPr="00672E8C" w14:paraId="09FC973A" w14:textId="77777777" w:rsidTr="00E96A21">
        <w:tc>
          <w:tcPr>
            <w:tcW w:w="1617" w:type="pct"/>
          </w:tcPr>
          <w:p w14:paraId="0A3DF6E2" w14:textId="0DE28120" w:rsidR="0024049A" w:rsidRPr="00E4384F" w:rsidRDefault="0024049A" w:rsidP="00E96A21">
            <w:pPr>
              <w:pStyle w:val="SJITableText"/>
            </w:pPr>
            <w:r w:rsidRPr="00E4384F">
              <w:t>Petit theft — first degree</w:t>
            </w:r>
          </w:p>
        </w:tc>
        <w:tc>
          <w:tcPr>
            <w:tcW w:w="1376" w:type="pct"/>
          </w:tcPr>
          <w:p w14:paraId="0634E2EB" w14:textId="77777777" w:rsidR="0024049A" w:rsidRPr="00E4384F" w:rsidRDefault="0024049A" w:rsidP="00E96A21">
            <w:pPr>
              <w:pStyle w:val="SJITableText"/>
            </w:pPr>
          </w:p>
        </w:tc>
        <w:tc>
          <w:tcPr>
            <w:tcW w:w="1254" w:type="pct"/>
          </w:tcPr>
          <w:p w14:paraId="35F2084B" w14:textId="77777777" w:rsidR="0024049A" w:rsidRPr="00E4384F" w:rsidRDefault="0024049A" w:rsidP="00E96A21">
            <w:pPr>
              <w:pStyle w:val="SJITableText"/>
            </w:pPr>
            <w:r w:rsidRPr="00E4384F">
              <w:t>812.014(2)(e)</w:t>
            </w:r>
          </w:p>
        </w:tc>
        <w:tc>
          <w:tcPr>
            <w:tcW w:w="753" w:type="pct"/>
          </w:tcPr>
          <w:p w14:paraId="2135048F" w14:textId="77777777" w:rsidR="0024049A" w:rsidRPr="00E4384F" w:rsidRDefault="0024049A" w:rsidP="00E96A21">
            <w:pPr>
              <w:pStyle w:val="SJITableText"/>
            </w:pPr>
            <w:r w:rsidRPr="00E4384F">
              <w:t>14.1</w:t>
            </w:r>
          </w:p>
        </w:tc>
      </w:tr>
      <w:tr w:rsidR="0024049A" w:rsidRPr="00672E8C" w14:paraId="209A9CBF" w14:textId="77777777" w:rsidTr="00E96A21">
        <w:tc>
          <w:tcPr>
            <w:tcW w:w="1617" w:type="pct"/>
          </w:tcPr>
          <w:p w14:paraId="3A42452B" w14:textId="13DE93E5" w:rsidR="0024049A" w:rsidRPr="00E4384F" w:rsidRDefault="0024049A" w:rsidP="00E96A21">
            <w:pPr>
              <w:pStyle w:val="SJITableText"/>
            </w:pPr>
            <w:r w:rsidRPr="00E4384F">
              <w:t>Petit theft — second degree</w:t>
            </w:r>
          </w:p>
        </w:tc>
        <w:tc>
          <w:tcPr>
            <w:tcW w:w="1376" w:type="pct"/>
          </w:tcPr>
          <w:p w14:paraId="1B6445D6" w14:textId="77777777" w:rsidR="0024049A" w:rsidRPr="00E4384F" w:rsidRDefault="0024049A" w:rsidP="00E96A21">
            <w:pPr>
              <w:pStyle w:val="SJITableText"/>
            </w:pPr>
          </w:p>
        </w:tc>
        <w:tc>
          <w:tcPr>
            <w:tcW w:w="1254" w:type="pct"/>
          </w:tcPr>
          <w:p w14:paraId="70D7D398" w14:textId="77777777" w:rsidR="0024049A" w:rsidRPr="00E4384F" w:rsidRDefault="0024049A" w:rsidP="00E96A21">
            <w:pPr>
              <w:pStyle w:val="SJITableText"/>
            </w:pPr>
            <w:r w:rsidRPr="00E4384F">
              <w:t>812.014(3)(a)</w:t>
            </w:r>
          </w:p>
        </w:tc>
        <w:tc>
          <w:tcPr>
            <w:tcW w:w="753" w:type="pct"/>
          </w:tcPr>
          <w:p w14:paraId="22DD588B" w14:textId="77777777" w:rsidR="0024049A" w:rsidRPr="00E4384F" w:rsidRDefault="0024049A" w:rsidP="00E96A21">
            <w:pPr>
              <w:pStyle w:val="SJITableText"/>
            </w:pPr>
            <w:r w:rsidRPr="00E4384F">
              <w:t>14.1</w:t>
            </w:r>
          </w:p>
        </w:tc>
      </w:tr>
      <w:tr w:rsidR="002D0E44" w:rsidRPr="00672E8C" w14:paraId="23A6BE9C" w14:textId="77777777" w:rsidTr="00E96A21">
        <w:tc>
          <w:tcPr>
            <w:tcW w:w="1617" w:type="pct"/>
          </w:tcPr>
          <w:p w14:paraId="5D3820B3" w14:textId="77777777" w:rsidR="002D0E44" w:rsidRPr="00E4384F" w:rsidRDefault="002D0E44" w:rsidP="00E96A21">
            <w:pPr>
              <w:pStyle w:val="SJITableText"/>
            </w:pPr>
          </w:p>
        </w:tc>
        <w:tc>
          <w:tcPr>
            <w:tcW w:w="1376" w:type="pct"/>
          </w:tcPr>
          <w:p w14:paraId="4D4B59AE" w14:textId="77231C6F" w:rsidR="002D0E44" w:rsidRPr="00E4384F" w:rsidRDefault="002D0E44" w:rsidP="00E96A21">
            <w:pPr>
              <w:pStyle w:val="SJITableText"/>
            </w:pPr>
            <w:r w:rsidRPr="00E4384F">
              <w:t xml:space="preserve">Theft of a shopping cart </w:t>
            </w:r>
          </w:p>
        </w:tc>
        <w:tc>
          <w:tcPr>
            <w:tcW w:w="1254" w:type="pct"/>
          </w:tcPr>
          <w:p w14:paraId="5EBC3C34" w14:textId="1DA61E13" w:rsidR="002D0E44" w:rsidRPr="00E4384F" w:rsidRDefault="00C90229" w:rsidP="00E96A21">
            <w:pPr>
              <w:pStyle w:val="SJITableText"/>
            </w:pPr>
            <w:r w:rsidRPr="00E4384F">
              <w:t>506.513</w:t>
            </w:r>
          </w:p>
        </w:tc>
        <w:tc>
          <w:tcPr>
            <w:tcW w:w="753" w:type="pct"/>
          </w:tcPr>
          <w:p w14:paraId="765E887B" w14:textId="0E55EB4F" w:rsidR="002D0E44" w:rsidRPr="00E4384F" w:rsidRDefault="00C90229" w:rsidP="00E96A21">
            <w:pPr>
              <w:pStyle w:val="SJITableText"/>
            </w:pPr>
            <w:r w:rsidRPr="00E4384F">
              <w:t>--</w:t>
            </w:r>
          </w:p>
        </w:tc>
      </w:tr>
      <w:tr w:rsidR="0024049A" w:rsidRPr="00672E8C" w14:paraId="5001A699" w14:textId="77777777" w:rsidTr="00E96A21">
        <w:tc>
          <w:tcPr>
            <w:tcW w:w="1617" w:type="pct"/>
          </w:tcPr>
          <w:p w14:paraId="667C1377" w14:textId="77777777" w:rsidR="0024049A" w:rsidRPr="00E4384F" w:rsidRDefault="0024049A" w:rsidP="00E96A21">
            <w:pPr>
              <w:pStyle w:val="SJITableText"/>
            </w:pPr>
          </w:p>
        </w:tc>
        <w:tc>
          <w:tcPr>
            <w:tcW w:w="1376" w:type="pct"/>
          </w:tcPr>
          <w:p w14:paraId="4103B265" w14:textId="77777777" w:rsidR="0024049A" w:rsidRPr="00E4384F" w:rsidRDefault="0024049A" w:rsidP="00E96A21">
            <w:pPr>
              <w:pStyle w:val="SJITableText"/>
            </w:pPr>
            <w:r w:rsidRPr="00E4384F">
              <w:t xml:space="preserve">Attempt </w:t>
            </w:r>
          </w:p>
        </w:tc>
        <w:tc>
          <w:tcPr>
            <w:tcW w:w="1254" w:type="pct"/>
          </w:tcPr>
          <w:p w14:paraId="45DF9153" w14:textId="77777777" w:rsidR="0024049A" w:rsidRPr="00E4384F" w:rsidRDefault="0024049A" w:rsidP="00E96A21">
            <w:pPr>
              <w:pStyle w:val="SJITableText"/>
            </w:pPr>
            <w:r w:rsidRPr="00E4384F">
              <w:t>777.04</w:t>
            </w:r>
          </w:p>
        </w:tc>
        <w:tc>
          <w:tcPr>
            <w:tcW w:w="753" w:type="pct"/>
          </w:tcPr>
          <w:p w14:paraId="2CD705AE" w14:textId="77777777" w:rsidR="0024049A" w:rsidRPr="00E4384F" w:rsidRDefault="0024049A" w:rsidP="00E96A21">
            <w:pPr>
              <w:pStyle w:val="SJITableText"/>
            </w:pPr>
            <w:r w:rsidRPr="00E4384F">
              <w:t>5.1</w:t>
            </w:r>
          </w:p>
        </w:tc>
      </w:tr>
    </w:tbl>
    <w:p w14:paraId="6A6112DF" w14:textId="77777777" w:rsidR="0024049A" w:rsidRPr="00672E8C" w:rsidRDefault="0024049A" w:rsidP="0024049A">
      <w:pPr>
        <w:pStyle w:val="SJIComments"/>
      </w:pPr>
      <w:r w:rsidRPr="00672E8C">
        <w:t>Comments</w:t>
      </w:r>
    </w:p>
    <w:p w14:paraId="291DE64E" w14:textId="433353ED" w:rsidR="0024049A" w:rsidRPr="00E4384F" w:rsidRDefault="00E4384F" w:rsidP="0024049A">
      <w:r>
        <w:t>*</w:t>
      </w:r>
      <w:r w:rsidR="008C0C96" w:rsidRPr="00E4384F">
        <w:t xml:space="preserve">§ 812.015, Fla. Stat., contains multiple ways to commit Retail Theft. </w:t>
      </w:r>
      <w:r w:rsidR="002D0E44" w:rsidRPr="00E4384F">
        <w:t>This instruction covers only § 812.015(8)(c), Fla. Stat. A special instruction will be necessary if other parts of § 812.015, Fla. Stat. are charged</w:t>
      </w:r>
      <w:r>
        <w:t>.</w:t>
      </w:r>
      <w:r w:rsidR="002D0E44" w:rsidRPr="00E4384F">
        <w:t xml:space="preserve"> </w:t>
      </w:r>
    </w:p>
    <w:p w14:paraId="7B190A63" w14:textId="3C8F022D" w:rsidR="0024049A" w:rsidRDefault="0024049A" w:rsidP="0024049A">
      <w:r w:rsidRPr="00672E8C">
        <w:t xml:space="preserve">Under the Retail Theft statute, the “value” of the property is the price stated on the price tag affixed to the item at the time it was stolen. </w:t>
      </w:r>
      <w:r w:rsidRPr="00672E8C">
        <w:rPr>
          <w:i/>
          <w:iCs/>
        </w:rPr>
        <w:t>F.T. v. State</w:t>
      </w:r>
      <w:r w:rsidRPr="00672E8C">
        <w:t>, 146 So. 3d 1270 (Fla. 3d DCA 2014). This determination of “value” may be different than “value” as defined in the theft statute.</w:t>
      </w:r>
    </w:p>
    <w:p w14:paraId="4B8742F1" w14:textId="2B8F2498" w:rsidR="008551FD" w:rsidRPr="004C1BFC" w:rsidRDefault="008551FD" w:rsidP="0024049A">
      <w:r w:rsidRPr="004C1BFC">
        <w:t>The 120-day period in which the crime of Retail Theft can be committed became effective on October 1, 2024. Prior to October 1st, the statute contained a 30-day period.</w:t>
      </w:r>
    </w:p>
    <w:p w14:paraId="1A06EC4A" w14:textId="40D15FB6" w:rsidR="009435D1" w:rsidRDefault="0024049A" w:rsidP="00F3788F">
      <w:r w:rsidRPr="00672E8C">
        <w:t>This instruction was adopted in 1981 and amended in 2017 [231 So. 3d 384]</w:t>
      </w:r>
      <w:r w:rsidR="00E4384F">
        <w:t>,</w:t>
      </w:r>
      <w:r>
        <w:t xml:space="preserve"> </w:t>
      </w:r>
      <w:r w:rsidRPr="00672E8C">
        <w:t>on May 22, 2020</w:t>
      </w:r>
      <w:r w:rsidR="002D0E44" w:rsidRPr="00E4384F">
        <w:t xml:space="preserve">, on </w:t>
      </w:r>
      <w:r w:rsidR="00E4384F" w:rsidRPr="00E4384F">
        <w:t>April 25, 2023</w:t>
      </w:r>
      <w:r w:rsidR="008551FD" w:rsidRPr="004C1BFC">
        <w:t xml:space="preserve">, and on </w:t>
      </w:r>
      <w:r w:rsidR="004C1BFC" w:rsidRPr="004C1BFC">
        <w:t>February 21</w:t>
      </w:r>
      <w:r w:rsidR="008551FD" w:rsidRPr="004C1BFC">
        <w:t>, 2025</w:t>
      </w:r>
      <w:r w:rsidR="00E4384F" w:rsidRPr="004C1BFC">
        <w:t>.</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4E5A4682"/>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2A3620FD"/>
    <w:multiLevelType w:val="multilevel"/>
    <w:tmpl w:val="D6A89BD8"/>
    <w:lvl w:ilvl="0">
      <w:start w:val="1"/>
      <w:numFmt w:val="decimal"/>
      <w:lvlText w:val="%1."/>
      <w:lvlJc w:val="left"/>
      <w:pPr>
        <w:tabs>
          <w:tab w:val="num" w:pos="1260"/>
        </w:tabs>
        <w:ind w:left="1260" w:hanging="720"/>
      </w:pPr>
      <w:rPr>
        <w:rFonts w:ascii="Times New Roman" w:hAnsi="Times New Roman" w:cs="Times New Roman" w:hint="default"/>
        <w:b/>
        <w:bCs/>
        <w:sz w:val="22"/>
        <w:szCs w:val="22"/>
        <w:u w:val="none"/>
      </w:rPr>
    </w:lvl>
    <w:lvl w:ilvl="1">
      <w:start w:val="1"/>
      <w:numFmt w:val="lowerLetter"/>
      <w:lvlText w:val="%2."/>
      <w:lvlJc w:val="left"/>
      <w:pPr>
        <w:tabs>
          <w:tab w:val="num" w:pos="1440"/>
        </w:tabs>
        <w:ind w:left="1440" w:hanging="360"/>
      </w:pPr>
      <w:rPr>
        <w:rFonts w:cs="Times New Roman" w:hint="default"/>
        <w:b/>
        <w:bCs/>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b/>
        <w:bCs/>
        <w:i w:val="0"/>
        <w:iCs w:val="0"/>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58156103"/>
    <w:multiLevelType w:val="multilevel"/>
    <w:tmpl w:val="D5F4B462"/>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6A37011A"/>
    <w:multiLevelType w:val="hybridMultilevel"/>
    <w:tmpl w:val="71FA019C"/>
    <w:lvl w:ilvl="0" w:tplc="2F98261E">
      <w:start w:val="3"/>
      <w:numFmt w:val="decimal"/>
      <w:lvlText w:val="%1."/>
      <w:lvlJc w:val="left"/>
      <w:pPr>
        <w:ind w:left="1620" w:hanging="360"/>
      </w:pPr>
      <w:rPr>
        <w:rFonts w:hint="default"/>
        <w:b/>
        <w:i w:val="0"/>
        <w:strike w:val="0"/>
        <w:u w:val="singl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593124600">
    <w:abstractNumId w:val="2"/>
  </w:num>
  <w:num w:numId="2" w16cid:durableId="899443671">
    <w:abstractNumId w:val="1"/>
  </w:num>
  <w:num w:numId="3" w16cid:durableId="1583636405">
    <w:abstractNumId w:val="0"/>
  </w:num>
  <w:num w:numId="4" w16cid:durableId="934023048">
    <w:abstractNumId w:val="0"/>
  </w:num>
  <w:num w:numId="5" w16cid:durableId="1438674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49A"/>
    <w:rsid w:val="0008294C"/>
    <w:rsid w:val="001F4E75"/>
    <w:rsid w:val="0024049A"/>
    <w:rsid w:val="00276059"/>
    <w:rsid w:val="00295CED"/>
    <w:rsid w:val="002B7B8C"/>
    <w:rsid w:val="002D0E44"/>
    <w:rsid w:val="00377438"/>
    <w:rsid w:val="003E05DE"/>
    <w:rsid w:val="0047409C"/>
    <w:rsid w:val="004C1BFC"/>
    <w:rsid w:val="00560A31"/>
    <w:rsid w:val="005F42D9"/>
    <w:rsid w:val="00672E8C"/>
    <w:rsid w:val="006C2F97"/>
    <w:rsid w:val="006E10DC"/>
    <w:rsid w:val="00776EA8"/>
    <w:rsid w:val="007D1EBA"/>
    <w:rsid w:val="008251E7"/>
    <w:rsid w:val="008551FD"/>
    <w:rsid w:val="008B7F90"/>
    <w:rsid w:val="008C0C96"/>
    <w:rsid w:val="009435D1"/>
    <w:rsid w:val="009C49D3"/>
    <w:rsid w:val="00A16DA3"/>
    <w:rsid w:val="00AD1E50"/>
    <w:rsid w:val="00B337D3"/>
    <w:rsid w:val="00C73AAF"/>
    <w:rsid w:val="00C90229"/>
    <w:rsid w:val="00D835B7"/>
    <w:rsid w:val="00D95BDB"/>
    <w:rsid w:val="00DB31DA"/>
    <w:rsid w:val="00E4384F"/>
    <w:rsid w:val="00E96A21"/>
    <w:rsid w:val="00F018DD"/>
    <w:rsid w:val="00F3788F"/>
    <w:rsid w:val="00FA3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EFC05C"/>
  <w14:defaultImageDpi w14:val="0"/>
  <w15:docId w15:val="{0ABC1A2E-FAB6-4BC4-A687-E1F36FB3A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49A"/>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24049A"/>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24049A"/>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24049A"/>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24049A"/>
    <w:pPr>
      <w:outlineLvl w:val="3"/>
    </w:pPr>
  </w:style>
  <w:style w:type="paragraph" w:styleId="Heading5">
    <w:name w:val="heading 5"/>
    <w:basedOn w:val="Normal"/>
    <w:next w:val="Normal"/>
    <w:link w:val="Heading5Char"/>
    <w:uiPriority w:val="9"/>
    <w:qFormat/>
    <w:rsid w:val="0024049A"/>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24049A"/>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24049A"/>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24049A"/>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24049A"/>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4049A"/>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24049A"/>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24049A"/>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24049A"/>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24049A"/>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24049A"/>
    <w:rPr>
      <w:rFonts w:ascii="Times New Roman" w:hAnsi="Times New Roman" w:cs="Times New Roman"/>
      <w:b/>
      <w:bCs/>
    </w:rPr>
  </w:style>
  <w:style w:type="character" w:customStyle="1" w:styleId="Heading7Char">
    <w:name w:val="Heading 7 Char"/>
    <w:basedOn w:val="DefaultParagraphFont"/>
    <w:link w:val="Heading7"/>
    <w:uiPriority w:val="9"/>
    <w:locked/>
    <w:rsid w:val="0024049A"/>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24049A"/>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24049A"/>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24049A"/>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24049A"/>
    <w:pPr>
      <w:tabs>
        <w:tab w:val="left" w:pos="720"/>
      </w:tabs>
      <w:suppressAutoHyphens/>
      <w:spacing w:after="0"/>
    </w:pPr>
    <w:rPr>
      <w:rFonts w:cs="Times New Roman"/>
      <w:i/>
      <w:iCs/>
      <w:szCs w:val="24"/>
    </w:rPr>
  </w:style>
  <w:style w:type="paragraph" w:customStyle="1" w:styleId="SJITableText">
    <w:name w:val="SJI Table Text"/>
    <w:basedOn w:val="Normal"/>
    <w:qFormat/>
    <w:rsid w:val="0024049A"/>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24049A"/>
    <w:pPr>
      <w:spacing w:before="220"/>
      <w:ind w:firstLine="0"/>
      <w:jc w:val="center"/>
    </w:pPr>
    <w:rPr>
      <w:rFonts w:cs="Courier New"/>
      <w:b/>
    </w:rPr>
  </w:style>
  <w:style w:type="paragraph" w:styleId="ListParagraph">
    <w:name w:val="List Paragraph"/>
    <w:basedOn w:val="Normal"/>
    <w:uiPriority w:val="34"/>
    <w:qFormat/>
    <w:rsid w:val="0024049A"/>
    <w:pPr>
      <w:ind w:left="720"/>
    </w:pPr>
    <w:rPr>
      <w:rFonts w:cs="Times New Roman"/>
    </w:rPr>
  </w:style>
  <w:style w:type="table" w:customStyle="1" w:styleId="TableGrid1">
    <w:name w:val="Table Grid1"/>
    <w:basedOn w:val="TableNormal"/>
    <w:next w:val="TableGrid"/>
    <w:uiPriority w:val="99"/>
    <w:rsid w:val="0024049A"/>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24049A"/>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24049A"/>
    <w:pPr>
      <w:widowControl w:val="0"/>
      <w:autoSpaceDE w:val="0"/>
      <w:autoSpaceDN w:val="0"/>
      <w:adjustRightInd w:val="0"/>
      <w:ind w:left="1296" w:hanging="576"/>
    </w:pPr>
    <w:rPr>
      <w:rFonts w:cs="Times New Roman"/>
    </w:rPr>
  </w:style>
  <w:style w:type="character" w:customStyle="1" w:styleId="SJIBold">
    <w:name w:val="SJI Bold"/>
    <w:uiPriority w:val="1"/>
    <w:qFormat/>
    <w:rsid w:val="0024049A"/>
    <w:rPr>
      <w:b/>
    </w:rPr>
  </w:style>
  <w:style w:type="paragraph" w:customStyle="1" w:styleId="SJIText">
    <w:name w:val="SJI Text"/>
    <w:basedOn w:val="Normal"/>
    <w:next w:val="Normal"/>
    <w:qFormat/>
    <w:rsid w:val="0024049A"/>
    <w:rPr>
      <w:rFonts w:cs="Times New Roman"/>
    </w:rPr>
  </w:style>
  <w:style w:type="paragraph" w:customStyle="1" w:styleId="SJITableTitle">
    <w:name w:val="SJI Table Title"/>
    <w:basedOn w:val="Normal"/>
    <w:qFormat/>
    <w:rsid w:val="0024049A"/>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24049A"/>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24049A"/>
    <w:pPr>
      <w:numPr>
        <w:numId w:val="4"/>
      </w:numPr>
    </w:pPr>
  </w:style>
  <w:style w:type="paragraph" w:customStyle="1" w:styleId="SJITableNotation">
    <w:name w:val="SJI Table Notation"/>
    <w:basedOn w:val="SJITableText"/>
    <w:qFormat/>
    <w:rsid w:val="0024049A"/>
    <w:pPr>
      <w:spacing w:before="120" w:after="240"/>
    </w:pPr>
  </w:style>
  <w:style w:type="character" w:customStyle="1" w:styleId="SJIUnderline">
    <w:name w:val="SJI Underline"/>
    <w:uiPriority w:val="1"/>
    <w:qFormat/>
    <w:rsid w:val="0024049A"/>
    <w:rPr>
      <w:rFonts w:ascii="Times New Roman" w:hAnsi="Times New Roman"/>
      <w:sz w:val="28"/>
      <w:u w:val="single"/>
    </w:rPr>
  </w:style>
  <w:style w:type="paragraph" w:styleId="Caption">
    <w:name w:val="caption"/>
    <w:basedOn w:val="Normal"/>
    <w:next w:val="Normal"/>
    <w:uiPriority w:val="35"/>
    <w:semiHidden/>
    <w:unhideWhenUsed/>
    <w:qFormat/>
    <w:rsid w:val="0024049A"/>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24049A"/>
    <w:pPr>
      <w:jc w:val="center"/>
    </w:pPr>
    <w:rPr>
      <w:rFonts w:cs="Times New Roman"/>
      <w:b/>
      <w:bCs/>
      <w:sz w:val="28"/>
      <w:szCs w:val="28"/>
    </w:rPr>
  </w:style>
  <w:style w:type="character" w:customStyle="1" w:styleId="TitleChar">
    <w:name w:val="Title Char"/>
    <w:basedOn w:val="DefaultParagraphFont"/>
    <w:link w:val="Title"/>
    <w:uiPriority w:val="10"/>
    <w:locked/>
    <w:rsid w:val="0024049A"/>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24049A"/>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24049A"/>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24049A"/>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24049A"/>
    <w:rPr>
      <w:rFonts w:ascii="Bookman Old Style" w:hAnsi="Bookman Old Style" w:cs="Times New Roman"/>
      <w:color w:val="000000"/>
    </w:rPr>
  </w:style>
  <w:style w:type="paragraph" w:styleId="Quote">
    <w:name w:val="Quote"/>
    <w:basedOn w:val="Normal"/>
    <w:next w:val="Normal"/>
    <w:link w:val="QuoteChar"/>
    <w:uiPriority w:val="29"/>
    <w:qFormat/>
    <w:rsid w:val="0024049A"/>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24049A"/>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24049A"/>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24049A"/>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24049A"/>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924</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6</cp:revision>
  <dcterms:created xsi:type="dcterms:W3CDTF">2025-02-21T21:37:00Z</dcterms:created>
  <dcterms:modified xsi:type="dcterms:W3CDTF">2025-02-24T17:59:00Z</dcterms:modified>
</cp:coreProperties>
</file>