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5F3D" w14:textId="69D890CF" w:rsidR="00275E37" w:rsidRPr="001559E2" w:rsidRDefault="00275E37" w:rsidP="00275E37">
      <w:pPr>
        <w:pStyle w:val="Heading3"/>
      </w:pPr>
      <w:bookmarkStart w:id="0" w:name="_Toc109650394"/>
      <w:bookmarkStart w:id="1" w:name="_Toc109807632"/>
      <w:r w:rsidRPr="009378B2">
        <w:t>10.</w:t>
      </w:r>
      <w:r w:rsidRPr="001559E2">
        <w:t>1 CARRYING A CONCEALED [FIREARM]</w:t>
      </w:r>
      <w:bookmarkEnd w:id="0"/>
      <w:bookmarkEnd w:id="1"/>
      <w:r w:rsidR="00802F43" w:rsidRPr="001559E2">
        <w:t xml:space="preserve"> </w:t>
      </w:r>
      <w:r w:rsidR="00C44BA7" w:rsidRPr="001635B4">
        <w:t>[WEAPON]</w:t>
      </w:r>
      <w:r w:rsidR="00C44BA7" w:rsidRPr="00C44BA7">
        <w:t xml:space="preserve"> </w:t>
      </w:r>
      <w:r w:rsidR="00802F43" w:rsidRPr="001559E2">
        <w:t>[ELECTRIC WEAPON OR DEVICE]</w:t>
      </w:r>
    </w:p>
    <w:p w14:paraId="6B7A9740" w14:textId="77777777" w:rsidR="00275E37" w:rsidRPr="001559E2" w:rsidRDefault="00275E37" w:rsidP="00275E37">
      <w:pPr>
        <w:pStyle w:val="SJIStatuteinTitle"/>
      </w:pPr>
      <w:r w:rsidRPr="001559E2">
        <w:t>§ 790.01, Fla. Stat.</w:t>
      </w:r>
    </w:p>
    <w:p w14:paraId="59096843" w14:textId="654EA1EC" w:rsidR="00275E37" w:rsidRPr="001559E2" w:rsidRDefault="00275E37" w:rsidP="00275E37">
      <w:pPr>
        <w:spacing w:after="240"/>
        <w:rPr>
          <w:b/>
        </w:rPr>
      </w:pPr>
      <w:r w:rsidRPr="001559E2">
        <w:rPr>
          <w:b/>
        </w:rPr>
        <w:t>To prove the crime of Carrying a Conceale</w:t>
      </w:r>
      <w:r w:rsidR="001635B4">
        <w:rPr>
          <w:b/>
        </w:rPr>
        <w:t>d</w:t>
      </w:r>
      <w:r w:rsidRPr="001559E2">
        <w:rPr>
          <w:b/>
        </w:rPr>
        <w:t xml:space="preserve"> [Firearm]</w:t>
      </w:r>
      <w:r w:rsidR="00802F43" w:rsidRPr="001559E2">
        <w:rPr>
          <w:b/>
        </w:rPr>
        <w:t xml:space="preserve"> </w:t>
      </w:r>
      <w:r w:rsidR="00C44BA7" w:rsidRPr="001635B4">
        <w:rPr>
          <w:b/>
        </w:rPr>
        <w:t>[Weapon]</w:t>
      </w:r>
      <w:r w:rsidR="00C44BA7" w:rsidRPr="00C44BA7">
        <w:rPr>
          <w:b/>
        </w:rPr>
        <w:t xml:space="preserve"> </w:t>
      </w:r>
      <w:r w:rsidR="00802F43" w:rsidRPr="001559E2">
        <w:rPr>
          <w:b/>
        </w:rPr>
        <w:t>[Electric Weapon or Device]</w:t>
      </w:r>
      <w:r w:rsidRPr="001559E2">
        <w:rPr>
          <w:b/>
        </w:rPr>
        <w:t>, the State must prove the following</w:t>
      </w:r>
      <w:r w:rsidRPr="004D3AE2">
        <w:rPr>
          <w:b/>
        </w:rPr>
        <w:t xml:space="preserve"> </w:t>
      </w:r>
      <w:r w:rsidRPr="001635B4">
        <w:rPr>
          <w:b/>
        </w:rPr>
        <w:t>three</w:t>
      </w:r>
      <w:r w:rsidR="008D758D" w:rsidRPr="001635B4">
        <w:rPr>
          <w:b/>
        </w:rPr>
        <w:t>*</w:t>
      </w:r>
      <w:r w:rsidRPr="004D3AE2">
        <w:rPr>
          <w:b/>
        </w:rPr>
        <w:t xml:space="preserve"> </w:t>
      </w:r>
      <w:r w:rsidRPr="001559E2">
        <w:rPr>
          <w:b/>
        </w:rPr>
        <w:t>elements beyond a reasonable doubt:</w:t>
      </w:r>
    </w:p>
    <w:p w14:paraId="58F1AF79" w14:textId="255434BC" w:rsidR="00275E37" w:rsidRPr="001559E2" w:rsidRDefault="00275E37" w:rsidP="00275E37">
      <w:pPr>
        <w:widowControl w:val="0"/>
        <w:numPr>
          <w:ilvl w:val="0"/>
          <w:numId w:val="2"/>
        </w:numPr>
        <w:autoSpaceDE w:val="0"/>
        <w:autoSpaceDN w:val="0"/>
        <w:adjustRightInd w:val="0"/>
        <w:ind w:right="720"/>
        <w:rPr>
          <w:b/>
        </w:rPr>
      </w:pPr>
      <w:r w:rsidRPr="001559E2">
        <w:t>(Defendant)</w:t>
      </w:r>
      <w:r w:rsidRPr="001559E2">
        <w:rPr>
          <w:b/>
        </w:rPr>
        <w:t xml:space="preserve"> knowingly carried on or about [his] [her] person [a firearm] [</w:t>
      </w:r>
      <w:r w:rsidR="004E09D9">
        <w:rPr>
          <w:b/>
        </w:rPr>
        <w:t xml:space="preserve">a </w:t>
      </w:r>
      <w:r w:rsidR="005471A0" w:rsidRPr="001635B4">
        <w:rPr>
          <w:b/>
        </w:rPr>
        <w:t xml:space="preserve">concealed </w:t>
      </w:r>
      <w:r w:rsidRPr="001559E2">
        <w:rPr>
          <w:b/>
        </w:rPr>
        <w:t>weapon] [an electric weapon or device]</w:t>
      </w:r>
      <w:r w:rsidR="004E09D9" w:rsidRPr="009F5272">
        <w:rPr>
          <w:b/>
        </w:rPr>
        <w:t>.</w:t>
      </w:r>
    </w:p>
    <w:p w14:paraId="4AE5ACB1" w14:textId="15D5A6D9" w:rsidR="00275E37" w:rsidRPr="001559E2" w:rsidRDefault="00275E37" w:rsidP="009F5272">
      <w:pPr>
        <w:numPr>
          <w:ilvl w:val="0"/>
          <w:numId w:val="2"/>
        </w:numPr>
        <w:tabs>
          <w:tab w:val="left" w:pos="720"/>
        </w:tabs>
        <w:suppressAutoHyphens/>
        <w:rPr>
          <w:b/>
        </w:rPr>
      </w:pPr>
      <w:r w:rsidRPr="001559E2">
        <w:rPr>
          <w:b/>
        </w:rPr>
        <w:t>The [firearm] [</w:t>
      </w:r>
      <w:r w:rsidR="005471A0" w:rsidRPr="001635B4">
        <w:rPr>
          <w:b/>
        </w:rPr>
        <w:t>concealed</w:t>
      </w:r>
      <w:r w:rsidR="005471A0">
        <w:rPr>
          <w:b/>
        </w:rPr>
        <w:t xml:space="preserve"> </w:t>
      </w:r>
      <w:r w:rsidRPr="001559E2">
        <w:rPr>
          <w:b/>
        </w:rPr>
        <w:t>weapon] [electric weapon or device] was concealed from the ordinary sight of another person.</w:t>
      </w:r>
    </w:p>
    <w:p w14:paraId="531E6AFD" w14:textId="30CF0E7A" w:rsidR="00901914" w:rsidRPr="001559E2" w:rsidRDefault="008D758D" w:rsidP="00275E37">
      <w:pPr>
        <w:numPr>
          <w:ilvl w:val="0"/>
          <w:numId w:val="2"/>
        </w:numPr>
        <w:rPr>
          <w:b/>
        </w:rPr>
      </w:pPr>
      <w:r w:rsidRPr="001635B4">
        <w:rPr>
          <w:b/>
        </w:rPr>
        <w:t>*</w:t>
      </w:r>
      <w:r w:rsidR="00275E37" w:rsidRPr="001559E2">
        <w:rPr>
          <w:b/>
        </w:rPr>
        <w:t xml:space="preserve">At that time, </w:t>
      </w:r>
    </w:p>
    <w:p w14:paraId="19B13344" w14:textId="30084219" w:rsidR="00901914" w:rsidRPr="001635B4" w:rsidRDefault="007C5BDA" w:rsidP="00901914">
      <w:pPr>
        <w:pStyle w:val="ListParagraph"/>
        <w:numPr>
          <w:ilvl w:val="1"/>
          <w:numId w:val="2"/>
        </w:numPr>
        <w:tabs>
          <w:tab w:val="clear" w:pos="1440"/>
          <w:tab w:val="num" w:pos="2160"/>
        </w:tabs>
        <w:ind w:left="2160" w:hanging="720"/>
        <w:rPr>
          <w:b/>
        </w:rPr>
      </w:pPr>
      <w:r w:rsidRPr="001635B4">
        <w:rPr>
          <w:b/>
        </w:rPr>
        <w:t xml:space="preserve">[he] [she] </w:t>
      </w:r>
      <w:r w:rsidR="00802F43" w:rsidRPr="001635B4">
        <w:rPr>
          <w:b/>
        </w:rPr>
        <w:t xml:space="preserve">was </w:t>
      </w:r>
      <w:r w:rsidR="00275E37" w:rsidRPr="001635B4">
        <w:rPr>
          <w:b/>
        </w:rPr>
        <w:t xml:space="preserve">not licensed </w:t>
      </w:r>
      <w:r w:rsidR="004D3AE2" w:rsidRPr="001635B4">
        <w:rPr>
          <w:b/>
        </w:rPr>
        <w:t>by the Department of Agriculture and Consumer Services</w:t>
      </w:r>
      <w:r w:rsidR="00DB2DBF" w:rsidRPr="001635B4">
        <w:rPr>
          <w:b/>
        </w:rPr>
        <w:t>**</w:t>
      </w:r>
      <w:r w:rsidR="004D3AE2" w:rsidRPr="001635B4">
        <w:rPr>
          <w:b/>
        </w:rPr>
        <w:t xml:space="preserve"> </w:t>
      </w:r>
      <w:r w:rsidR="00275E37" w:rsidRPr="001635B4">
        <w:rPr>
          <w:b/>
        </w:rPr>
        <w:t>to carry a</w:t>
      </w:r>
      <w:r w:rsidR="008D758D" w:rsidRPr="001635B4">
        <w:rPr>
          <w:b/>
        </w:rPr>
        <w:t>[n]</w:t>
      </w:r>
      <w:r w:rsidR="00275E37" w:rsidRPr="001635B4">
        <w:rPr>
          <w:b/>
        </w:rPr>
        <w:t xml:space="preserve"> concealed</w:t>
      </w:r>
      <w:r w:rsidR="004E09D9" w:rsidRPr="001635B4">
        <w:rPr>
          <w:b/>
        </w:rPr>
        <w:t xml:space="preserve"> [firearm] [weapon] [electrical weapon or device]</w:t>
      </w:r>
      <w:r w:rsidR="000D548F" w:rsidRPr="001635B4">
        <w:rPr>
          <w:b/>
        </w:rPr>
        <w:t>;</w:t>
      </w:r>
      <w:r w:rsidR="00275E37" w:rsidRPr="001635B4">
        <w:rPr>
          <w:b/>
        </w:rPr>
        <w:t xml:space="preserve"> </w:t>
      </w:r>
    </w:p>
    <w:p w14:paraId="35188917" w14:textId="77777777" w:rsidR="00901914" w:rsidRPr="001559E2" w:rsidRDefault="00F103AD" w:rsidP="00901914">
      <w:pPr>
        <w:pStyle w:val="ListParagraph"/>
        <w:ind w:left="1440"/>
        <w:rPr>
          <w:b/>
        </w:rPr>
      </w:pPr>
      <w:r w:rsidRPr="001559E2">
        <w:rPr>
          <w:b/>
        </w:rPr>
        <w:t xml:space="preserve">and </w:t>
      </w:r>
    </w:p>
    <w:p w14:paraId="681EE62E" w14:textId="1549A2FA" w:rsidR="00275E37" w:rsidRPr="001635B4" w:rsidRDefault="00F103AD" w:rsidP="004D3AE2">
      <w:pPr>
        <w:pStyle w:val="ListParagraph"/>
        <w:numPr>
          <w:ilvl w:val="1"/>
          <w:numId w:val="2"/>
        </w:numPr>
        <w:tabs>
          <w:tab w:val="clear" w:pos="1440"/>
          <w:tab w:val="num" w:pos="2160"/>
        </w:tabs>
        <w:ind w:left="2160" w:hanging="630"/>
        <w:rPr>
          <w:b/>
        </w:rPr>
      </w:pPr>
      <w:r w:rsidRPr="001559E2">
        <w:rPr>
          <w:b/>
        </w:rPr>
        <w:t>was ineligible to receive and maintain such a license</w:t>
      </w:r>
      <w:r w:rsidR="004D3AE2">
        <w:rPr>
          <w:b/>
        </w:rPr>
        <w:t xml:space="preserve"> </w:t>
      </w:r>
      <w:r w:rsidR="004D3AE2" w:rsidRPr="001635B4">
        <w:rPr>
          <w:b/>
        </w:rPr>
        <w:t xml:space="preserve">because of </w:t>
      </w:r>
      <w:r w:rsidR="004D3AE2" w:rsidRPr="001635B4">
        <w:rPr>
          <w:bCs/>
        </w:rPr>
        <w:t xml:space="preserve">(insert reason </w:t>
      </w:r>
      <w:r w:rsidR="008D758D" w:rsidRPr="001635B4">
        <w:rPr>
          <w:bCs/>
        </w:rPr>
        <w:t>defendant cannot get a license because he or she does not meet the criteria in § </w:t>
      </w:r>
      <w:hyperlink r:id="rId6" w:history="1">
        <w:r w:rsidR="008D758D" w:rsidRPr="001635B4">
          <w:rPr>
            <w:rStyle w:val="Hyperlink"/>
            <w:bCs/>
            <w:color w:val="auto"/>
            <w:u w:val="none"/>
          </w:rPr>
          <w:t>790.06</w:t>
        </w:r>
      </w:hyperlink>
      <w:r w:rsidR="008D758D" w:rsidRPr="001635B4">
        <w:rPr>
          <w:bCs/>
        </w:rPr>
        <w:t>(2)(a)-(f) and (i)-(n), (3), and (10), Fla. Stat)</w:t>
      </w:r>
      <w:r w:rsidR="008D758D" w:rsidRPr="001635B4">
        <w:rPr>
          <w:b/>
          <w:bCs/>
        </w:rPr>
        <w:t>.</w:t>
      </w:r>
      <w:r w:rsidR="008D758D" w:rsidRPr="001635B4">
        <w:rPr>
          <w:b/>
        </w:rPr>
        <w:t xml:space="preserve">  </w:t>
      </w:r>
    </w:p>
    <w:p w14:paraId="0471516D" w14:textId="19C9F1FB" w:rsidR="00275E37" w:rsidRPr="009378B2" w:rsidRDefault="00275E37" w:rsidP="00275E37">
      <w:pPr>
        <w:pStyle w:val="SJITextItalic"/>
      </w:pPr>
      <w:r w:rsidRPr="009378B2">
        <w:t xml:space="preserve">Ensor v. State, 403 So. 2d 349 (Fla. 1981); </w:t>
      </w:r>
      <w:proofErr w:type="spellStart"/>
      <w:r w:rsidRPr="009378B2">
        <w:t>Dorelus</w:t>
      </w:r>
      <w:proofErr w:type="spellEnd"/>
      <w:r w:rsidRPr="009378B2">
        <w:t xml:space="preserve"> v. State, 747 So. 2d 368 (Fla. 1999). </w:t>
      </w:r>
    </w:p>
    <w:p w14:paraId="0A4D667E" w14:textId="77777777" w:rsidR="00275E37" w:rsidRPr="009378B2" w:rsidRDefault="00275E37" w:rsidP="00275E37">
      <w:pPr>
        <w:autoSpaceDE w:val="0"/>
        <w:autoSpaceDN w:val="0"/>
        <w:adjustRightInd w:val="0"/>
        <w:spacing w:line="256" w:lineRule="auto"/>
        <w:rPr>
          <w:b/>
        </w:rPr>
      </w:pPr>
      <w:r w:rsidRPr="009378B2">
        <w:rPr>
          <w:b/>
        </w:rPr>
        <w:t>The term “on or about [his] [her] person” means physically on the person or readily accessible to [him] [her].</w:t>
      </w:r>
    </w:p>
    <w:p w14:paraId="5661A379" w14:textId="6B85872E" w:rsidR="00275E37" w:rsidRPr="001559E2" w:rsidRDefault="004E09D9" w:rsidP="00275E37">
      <w:pPr>
        <w:rPr>
          <w:b/>
        </w:rPr>
      </w:pPr>
      <w:r w:rsidRPr="001559E2">
        <w:rPr>
          <w:b/>
        </w:rPr>
        <w:t xml:space="preserve">The term “ordinary sight of another person” means the casual and ordinary observation of another in the normal associations of life. A [firearm] </w:t>
      </w:r>
      <w:r w:rsidRPr="001635B4">
        <w:rPr>
          <w:b/>
        </w:rPr>
        <w:t>[</w:t>
      </w:r>
      <w:r w:rsidR="00E126A5" w:rsidRPr="001635B4">
        <w:rPr>
          <w:b/>
        </w:rPr>
        <w:t xml:space="preserve">concealed </w:t>
      </w:r>
      <w:r w:rsidRPr="001635B4">
        <w:rPr>
          <w:b/>
        </w:rPr>
        <w:t>weapon] [electric weapon or device] need not be completely hidden for you to find that it was concealed. However, a[n] [firearm] [</w:t>
      </w:r>
      <w:r w:rsidR="00E126A5" w:rsidRPr="001635B4">
        <w:rPr>
          <w:b/>
        </w:rPr>
        <w:t xml:space="preserve">concealed </w:t>
      </w:r>
      <w:r w:rsidRPr="001635B4">
        <w:rPr>
          <w:b/>
        </w:rPr>
        <w:t xml:space="preserve">weapon] [electric weapon or device] is not concealed if, although not fully exposed, its status as </w:t>
      </w:r>
      <w:proofErr w:type="gramStart"/>
      <w:r w:rsidRPr="001635B4">
        <w:rPr>
          <w:b/>
        </w:rPr>
        <w:t>a[</w:t>
      </w:r>
      <w:proofErr w:type="gramEnd"/>
      <w:r w:rsidRPr="001635B4">
        <w:rPr>
          <w:b/>
        </w:rPr>
        <w:t>n[ [firearm] [</w:t>
      </w:r>
      <w:r w:rsidR="00E126A5" w:rsidRPr="001635B4">
        <w:rPr>
          <w:b/>
        </w:rPr>
        <w:t xml:space="preserve">concealed </w:t>
      </w:r>
      <w:r w:rsidRPr="001635B4">
        <w:rPr>
          <w:b/>
        </w:rPr>
        <w:t>weapon</w:t>
      </w:r>
      <w:r w:rsidRPr="001559E2">
        <w:rPr>
          <w:b/>
        </w:rPr>
        <w:t>] [electric weapon or device] is detectable by ordinary observation.</w:t>
      </w:r>
    </w:p>
    <w:p w14:paraId="0E1F4099" w14:textId="02DA86D6" w:rsidR="00237443" w:rsidRPr="00237443" w:rsidRDefault="00275E37" w:rsidP="00237443">
      <w:pPr>
        <w:pStyle w:val="SJITextItalic"/>
      </w:pPr>
      <w:r w:rsidRPr="001559E2">
        <w:t xml:space="preserve">Give only the applicable paragraphs. </w:t>
      </w:r>
    </w:p>
    <w:p w14:paraId="7C6185DE" w14:textId="7B0C5FB3" w:rsidR="00E10F20" w:rsidRPr="001635B4" w:rsidRDefault="00E10F20" w:rsidP="00E10F20">
      <w:pPr>
        <w:rPr>
          <w:b/>
        </w:rPr>
      </w:pPr>
      <w:r w:rsidRPr="001635B4">
        <w:rPr>
          <w:b/>
        </w:rPr>
        <w:t xml:space="preserve">A “firearm” 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another crime. An antique firearm is </w:t>
      </w:r>
      <w:r w:rsidRPr="001635B4">
        <w:rPr>
          <w:i/>
        </w:rPr>
        <w:t xml:space="preserve">(insert definition in </w:t>
      </w:r>
      <w:r w:rsidRPr="001635B4">
        <w:rPr>
          <w:i/>
        </w:rPr>
        <w:lastRenderedPageBreak/>
        <w:t>790.001, Fla. Stat.)</w:t>
      </w:r>
      <w:r w:rsidRPr="009F5272">
        <w:rPr>
          <w:b/>
          <w:bCs/>
        </w:rPr>
        <w:t>]</w:t>
      </w:r>
      <w:r w:rsidRPr="001635B4">
        <w:rPr>
          <w:b/>
        </w:rPr>
        <w:t>.</w:t>
      </w:r>
      <w:r w:rsidRPr="001635B4">
        <w:rPr>
          <w:b/>
          <w:bCs/>
        </w:rPr>
        <w:t xml:space="preserve"> </w:t>
      </w:r>
      <w:r w:rsidRPr="001635B4">
        <w:rPr>
          <w:b/>
        </w:rPr>
        <w:t>[A destructive device is</w:t>
      </w:r>
      <w:r w:rsidRPr="001635B4">
        <w:rPr>
          <w:b/>
          <w:bCs/>
        </w:rPr>
        <w:t xml:space="preserve"> </w:t>
      </w:r>
      <w:r w:rsidRPr="001635B4">
        <w:rPr>
          <w:bCs/>
          <w:i/>
        </w:rPr>
        <w:t>(insert definition in § 790.001, Fla. Stat.)</w:t>
      </w:r>
      <w:r w:rsidRPr="001635B4">
        <w:rPr>
          <w:b/>
        </w:rPr>
        <w:t>].</w:t>
      </w:r>
    </w:p>
    <w:p w14:paraId="40A1CD10" w14:textId="1A44BB0D" w:rsidR="008D758D" w:rsidRPr="001635B4" w:rsidRDefault="008D758D" w:rsidP="00E10F20">
      <w:pPr>
        <w:rPr>
          <w:b/>
        </w:rPr>
      </w:pPr>
      <w:r w:rsidRPr="001635B4">
        <w:rPr>
          <w:b/>
        </w:rPr>
        <w:t xml:space="preserve">A “concealed weapon” means any dirk, metallic knuckles, </w:t>
      </w:r>
      <w:proofErr w:type="spellStart"/>
      <w:r w:rsidRPr="001635B4">
        <w:rPr>
          <w:b/>
        </w:rPr>
        <w:t>billie</w:t>
      </w:r>
      <w:proofErr w:type="spellEnd"/>
      <w:r w:rsidRPr="001635B4">
        <w:rPr>
          <w:b/>
        </w:rPr>
        <w:t>, tear gas gun, chemical weapon or device, or other deadly weapon carried on or about a person in such manner as to conceal the weapon from the ordinary sight of another person.</w:t>
      </w:r>
    </w:p>
    <w:p w14:paraId="65445C75" w14:textId="77777777" w:rsidR="00275E37" w:rsidRPr="009378B2" w:rsidRDefault="00275E37" w:rsidP="00275E37">
      <w:pPr>
        <w:rPr>
          <w:b/>
        </w:rPr>
      </w:pPr>
      <w:r w:rsidRPr="009378B2">
        <w:rPr>
          <w:b/>
        </w:rPr>
        <w:t xml:space="preserve">A “deadly weapon” is any object that will likely cause death or great bodily harm if used in the ordinary and usual manner contemplated by its design and construction. </w:t>
      </w:r>
    </w:p>
    <w:p w14:paraId="0A9BDC0F" w14:textId="77777777" w:rsidR="00275E37" w:rsidRPr="009378B2" w:rsidRDefault="00275E37" w:rsidP="00275E37">
      <w:pPr>
        <w:rPr>
          <w:b/>
        </w:rPr>
      </w:pPr>
      <w:r w:rsidRPr="009378B2">
        <w:rPr>
          <w:b/>
        </w:rPr>
        <w:t xml:space="preserve">An object not designed to inflict bodily harm may nonetheless be a “deadly weapon” if it was intended to be used [or threatened to be used] in a manner likely to cause death or great bodily harm. </w:t>
      </w:r>
    </w:p>
    <w:p w14:paraId="1855DFFA" w14:textId="5D17B3F4" w:rsidR="00275E37" w:rsidRPr="00721076" w:rsidRDefault="00275E37" w:rsidP="00275E37">
      <w:pPr>
        <w:rPr>
          <w:b/>
          <w:bCs/>
        </w:rPr>
      </w:pPr>
      <w:r w:rsidRPr="00721076">
        <w:rPr>
          <w:b/>
          <w:bCs/>
        </w:rPr>
        <w:t>“Great bodily harm” means great as distinguished from slight, trivial, minor, or moderate harm.</w:t>
      </w:r>
    </w:p>
    <w:p w14:paraId="317E39F6" w14:textId="77777777" w:rsidR="00275E37" w:rsidRDefault="00275E37" w:rsidP="00275E37">
      <w:pPr>
        <w:tabs>
          <w:tab w:val="left" w:pos="720"/>
        </w:tabs>
        <w:suppressAutoHyphens/>
        <w:rPr>
          <w:b/>
        </w:rPr>
      </w:pPr>
      <w:r w:rsidRPr="009378B2">
        <w:rPr>
          <w:b/>
        </w:rPr>
        <w:t>“Electric weapon or device” means any device which, through the application or use of electrical current, is designed, redesigned, used, or intended to be used for offensive or defensive purposes, the destruction of life, or the infliction of injury.</w:t>
      </w:r>
    </w:p>
    <w:p w14:paraId="287F3A04" w14:textId="33E16CCB" w:rsidR="00AB75E3" w:rsidRPr="001635B4" w:rsidRDefault="00AB75E3" w:rsidP="001635B4">
      <w:pPr>
        <w:tabs>
          <w:tab w:val="left" w:pos="720"/>
        </w:tabs>
        <w:suppressAutoHyphens/>
        <w:spacing w:after="0"/>
        <w:rPr>
          <w:bCs/>
          <w:i/>
          <w:iCs/>
        </w:rPr>
      </w:pPr>
      <w:r w:rsidRPr="001635B4">
        <w:rPr>
          <w:bCs/>
          <w:i/>
          <w:iCs/>
        </w:rPr>
        <w:t>“Tear gas gun” and “chemical weapon or device” are defined in § 790.001, Fla. Stat.</w:t>
      </w:r>
    </w:p>
    <w:p w14:paraId="7C809F07" w14:textId="5CB3BEE5" w:rsidR="00275E37" w:rsidRPr="00771AE5" w:rsidRDefault="00275E37" w:rsidP="00275E37">
      <w:pPr>
        <w:pStyle w:val="SJITextItalic"/>
        <w:rPr>
          <w:strike/>
        </w:rPr>
      </w:pPr>
      <w:r w:rsidRPr="009378B2">
        <w:t>§ 790.01(</w:t>
      </w:r>
      <w:r w:rsidR="00771AE5" w:rsidRPr="001559E2">
        <w:t>5</w:t>
      </w:r>
      <w:r w:rsidRPr="009378B2">
        <w:t xml:space="preserve">)(b), Fla. Stat. The statute and case law are silent as to: (1) which party bears the burden of persuasion of the affirmative defense, and (2) the standard for the burden of persuasion. Under the common law, defendants had both the burden of production and the burden of persuasion on affirmative defenses by a preponderance of the evidence. 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 </w:t>
      </w:r>
    </w:p>
    <w:p w14:paraId="6D61CCF8" w14:textId="016CF9B4" w:rsidR="00275E37" w:rsidRPr="001635B4" w:rsidRDefault="00275E37" w:rsidP="00275E37">
      <w:pPr>
        <w:rPr>
          <w:b/>
          <w:bCs/>
        </w:rPr>
      </w:pPr>
      <w:bookmarkStart w:id="2" w:name="_Toc511734233"/>
      <w:bookmarkStart w:id="3" w:name="_Toc511906445"/>
      <w:r w:rsidRPr="00287208">
        <w:rPr>
          <w:b/>
          <w:bCs/>
        </w:rPr>
        <w:t>It is a defense for a person who carries for purposes of lawful self-defense, in a manner</w:t>
      </w:r>
      <w:r w:rsidR="00611741">
        <w:rPr>
          <w:b/>
          <w:bCs/>
        </w:rPr>
        <w:t xml:space="preserve"> </w:t>
      </w:r>
      <w:r w:rsidR="00611741" w:rsidRPr="001635B4">
        <w:rPr>
          <w:b/>
          <w:bCs/>
        </w:rPr>
        <w:t>concealed from the ordinary sight of another person</w:t>
      </w:r>
      <w:r w:rsidRPr="001635B4">
        <w:rPr>
          <w:b/>
          <w:bCs/>
        </w:rPr>
        <w:t>:</w:t>
      </w:r>
      <w:bookmarkEnd w:id="2"/>
      <w:bookmarkEnd w:id="3"/>
    </w:p>
    <w:p w14:paraId="5C0148FE" w14:textId="77777777" w:rsidR="00275E37" w:rsidRPr="00D67BD4" w:rsidRDefault="00275E37" w:rsidP="009F5272">
      <w:pPr>
        <w:pStyle w:val="ListParagraph"/>
        <w:numPr>
          <w:ilvl w:val="0"/>
          <w:numId w:val="3"/>
        </w:numPr>
        <w:shd w:val="clear" w:color="auto" w:fill="FFFFFF"/>
        <w:ind w:left="1296" w:hanging="576"/>
        <w:rPr>
          <w:rStyle w:val="SJIBold"/>
          <w:bCs/>
        </w:rPr>
      </w:pPr>
      <w:r w:rsidRPr="00D67BD4">
        <w:rPr>
          <w:rStyle w:val="SJIBold"/>
          <w:bCs/>
        </w:rPr>
        <w:t>A self-defense chemical spray.</w:t>
      </w:r>
    </w:p>
    <w:p w14:paraId="385A1EB4" w14:textId="6BE007BE" w:rsidR="00D10FF7" w:rsidRDefault="00275E37" w:rsidP="009F5272">
      <w:pPr>
        <w:pStyle w:val="ListParagraph"/>
        <w:numPr>
          <w:ilvl w:val="0"/>
          <w:numId w:val="3"/>
        </w:numPr>
        <w:shd w:val="clear" w:color="auto" w:fill="FFFFFF"/>
        <w:ind w:left="1296" w:hanging="576"/>
        <w:rPr>
          <w:rStyle w:val="SJIBold"/>
          <w:bCs/>
        </w:rPr>
      </w:pPr>
      <w:r w:rsidRPr="00D67BD4">
        <w:rPr>
          <w:rStyle w:val="SJIBold"/>
          <w:bCs/>
        </w:rPr>
        <w:t>A nonlethal stun gun or dart-firing stun gun or other nonlethal electric weapon or device that is designed solely for defensive purposes.</w:t>
      </w:r>
    </w:p>
    <w:p w14:paraId="0C960760" w14:textId="77777777" w:rsidR="00D10FF7" w:rsidRDefault="00D10FF7">
      <w:pPr>
        <w:spacing w:after="160"/>
        <w:ind w:firstLine="0"/>
        <w:rPr>
          <w:rStyle w:val="SJIBold"/>
          <w:rFonts w:cs="Times New Roman"/>
          <w:bCs/>
        </w:rPr>
      </w:pPr>
      <w:r>
        <w:rPr>
          <w:rStyle w:val="SJIBold"/>
          <w:bCs/>
        </w:rPr>
        <w:br w:type="page"/>
      </w:r>
    </w:p>
    <w:p w14:paraId="74589E7A" w14:textId="35250A67" w:rsidR="00275E37" w:rsidRPr="00611741" w:rsidRDefault="00275E37" w:rsidP="00D10FF7">
      <w:pPr>
        <w:pStyle w:val="SJIComments"/>
      </w:pPr>
      <w:r w:rsidRPr="00611741">
        <w:lastRenderedPageBreak/>
        <w:t>Lesser Included Offenses</w:t>
      </w:r>
    </w:p>
    <w:p w14:paraId="06C4AC47" w14:textId="777ADA32" w:rsidR="00275E37" w:rsidRPr="001559E2" w:rsidRDefault="00275E37" w:rsidP="00275E37">
      <w:pPr>
        <w:pStyle w:val="Heading4"/>
      </w:pPr>
      <w:bookmarkStart w:id="4" w:name="_Toc109650395"/>
      <w:r w:rsidRPr="009378B2">
        <w:t>CARRYING A CONCEALED [FIREARM</w:t>
      </w:r>
      <w:r w:rsidRPr="001559E2">
        <w:t>]</w:t>
      </w:r>
      <w:r w:rsidR="00771AE5" w:rsidRPr="001559E2">
        <w:t xml:space="preserve"> </w:t>
      </w:r>
      <w:r w:rsidR="00191505" w:rsidRPr="001635B4">
        <w:t xml:space="preserve">[WEAPON] </w:t>
      </w:r>
      <w:r w:rsidR="00771AE5" w:rsidRPr="001635B4">
        <w:t>[ELECTRIC</w:t>
      </w:r>
      <w:r w:rsidR="00771AE5" w:rsidRPr="001559E2">
        <w:t xml:space="preserve"> WEAPON OR DEVICE] </w:t>
      </w:r>
      <w:r w:rsidRPr="001559E2">
        <w:t>— 790.01</w:t>
      </w:r>
      <w:bookmarkEnd w:id="4"/>
    </w:p>
    <w:tbl>
      <w:tblPr>
        <w:tblStyle w:val="TableGrid1"/>
        <w:tblW w:w="5000" w:type="pct"/>
        <w:tblLook w:val="04A0" w:firstRow="1" w:lastRow="0" w:firstColumn="1" w:lastColumn="0" w:noHBand="0" w:noVBand="1"/>
      </w:tblPr>
      <w:tblGrid>
        <w:gridCol w:w="2991"/>
        <w:gridCol w:w="2992"/>
        <w:gridCol w:w="1964"/>
        <w:gridCol w:w="1403"/>
      </w:tblGrid>
      <w:tr w:rsidR="00275E37" w:rsidRPr="009378B2" w14:paraId="4154EF3C" w14:textId="77777777" w:rsidTr="000E642B">
        <w:trPr>
          <w:cnfStyle w:val="100000000000" w:firstRow="1" w:lastRow="0" w:firstColumn="0" w:lastColumn="0" w:oddVBand="0" w:evenVBand="0" w:oddHBand="0" w:evenHBand="0" w:firstRowFirstColumn="0" w:firstRowLastColumn="0" w:lastRowFirstColumn="0" w:lastRowLastColumn="0"/>
        </w:trPr>
        <w:tc>
          <w:tcPr>
            <w:tcW w:w="1600" w:type="pct"/>
            <w:hideMark/>
          </w:tcPr>
          <w:p w14:paraId="4211E04E" w14:textId="77777777" w:rsidR="00275E37" w:rsidRPr="009378B2" w:rsidRDefault="00275E37" w:rsidP="000E642B">
            <w:pPr>
              <w:pStyle w:val="SJITableText"/>
            </w:pPr>
            <w:r w:rsidRPr="009378B2">
              <w:t>CATEGORY ONE</w:t>
            </w:r>
          </w:p>
        </w:tc>
        <w:tc>
          <w:tcPr>
            <w:tcW w:w="1600" w:type="pct"/>
            <w:hideMark/>
          </w:tcPr>
          <w:p w14:paraId="42D6F93C" w14:textId="77777777" w:rsidR="00275E37" w:rsidRPr="009378B2" w:rsidRDefault="00275E37" w:rsidP="000E642B">
            <w:pPr>
              <w:pStyle w:val="SJITableText"/>
            </w:pPr>
            <w:r w:rsidRPr="009378B2">
              <w:t>CATEGORY TWO</w:t>
            </w:r>
          </w:p>
        </w:tc>
        <w:tc>
          <w:tcPr>
            <w:tcW w:w="1050" w:type="pct"/>
            <w:hideMark/>
          </w:tcPr>
          <w:p w14:paraId="4C245806" w14:textId="77777777" w:rsidR="00275E37" w:rsidRPr="009378B2" w:rsidRDefault="00275E37" w:rsidP="000E642B">
            <w:pPr>
              <w:pStyle w:val="SJITableText"/>
            </w:pPr>
            <w:r w:rsidRPr="009378B2">
              <w:t>FLA. STAT.</w:t>
            </w:r>
          </w:p>
        </w:tc>
        <w:tc>
          <w:tcPr>
            <w:tcW w:w="750" w:type="pct"/>
            <w:hideMark/>
          </w:tcPr>
          <w:p w14:paraId="2951C73B" w14:textId="77777777" w:rsidR="00275E37" w:rsidRPr="009378B2" w:rsidRDefault="00275E37" w:rsidP="000E642B">
            <w:pPr>
              <w:pStyle w:val="SJITableText"/>
            </w:pPr>
            <w:r w:rsidRPr="009378B2">
              <w:t>INS. NO.</w:t>
            </w:r>
          </w:p>
        </w:tc>
      </w:tr>
      <w:tr w:rsidR="00275E37" w:rsidRPr="009378B2" w14:paraId="38A5F10F" w14:textId="77777777" w:rsidTr="000E642B">
        <w:tc>
          <w:tcPr>
            <w:tcW w:w="1600" w:type="pct"/>
            <w:hideMark/>
          </w:tcPr>
          <w:p w14:paraId="726AB19A" w14:textId="77777777" w:rsidR="00275E37" w:rsidRPr="009378B2" w:rsidRDefault="00275E37" w:rsidP="000E642B">
            <w:pPr>
              <w:pStyle w:val="SJITableText"/>
            </w:pPr>
            <w:r w:rsidRPr="009378B2">
              <w:t>None</w:t>
            </w:r>
          </w:p>
        </w:tc>
        <w:tc>
          <w:tcPr>
            <w:tcW w:w="1600" w:type="pct"/>
          </w:tcPr>
          <w:p w14:paraId="022C54DD" w14:textId="77777777" w:rsidR="00275E37" w:rsidRPr="009378B2" w:rsidRDefault="00275E37" w:rsidP="000E642B">
            <w:pPr>
              <w:pStyle w:val="SJITableText"/>
            </w:pPr>
          </w:p>
        </w:tc>
        <w:tc>
          <w:tcPr>
            <w:tcW w:w="1050" w:type="pct"/>
          </w:tcPr>
          <w:p w14:paraId="79C055C2" w14:textId="77777777" w:rsidR="00275E37" w:rsidRPr="009378B2" w:rsidRDefault="00275E37" w:rsidP="000E642B">
            <w:pPr>
              <w:pStyle w:val="SJITableText"/>
            </w:pPr>
          </w:p>
        </w:tc>
        <w:tc>
          <w:tcPr>
            <w:tcW w:w="750" w:type="pct"/>
          </w:tcPr>
          <w:p w14:paraId="62A6EB83" w14:textId="77777777" w:rsidR="00275E37" w:rsidRPr="009378B2" w:rsidRDefault="00275E37" w:rsidP="000E642B">
            <w:pPr>
              <w:pStyle w:val="SJITableText"/>
            </w:pPr>
          </w:p>
        </w:tc>
      </w:tr>
      <w:tr w:rsidR="00275E37" w:rsidRPr="009378B2" w14:paraId="68BCA253" w14:textId="77777777" w:rsidTr="000E642B">
        <w:tc>
          <w:tcPr>
            <w:tcW w:w="1600" w:type="pct"/>
          </w:tcPr>
          <w:p w14:paraId="511D9893" w14:textId="77777777" w:rsidR="00275E37" w:rsidRPr="009378B2" w:rsidRDefault="00275E37" w:rsidP="000E642B">
            <w:pPr>
              <w:pStyle w:val="SJITableText"/>
            </w:pPr>
          </w:p>
        </w:tc>
        <w:tc>
          <w:tcPr>
            <w:tcW w:w="1600" w:type="pct"/>
            <w:hideMark/>
          </w:tcPr>
          <w:p w14:paraId="77732E38" w14:textId="77777777" w:rsidR="00275E37" w:rsidRPr="009378B2" w:rsidRDefault="00275E37" w:rsidP="000E642B">
            <w:pPr>
              <w:pStyle w:val="SJITableText"/>
            </w:pPr>
            <w:r w:rsidRPr="009378B2">
              <w:t>Attempt</w:t>
            </w:r>
          </w:p>
        </w:tc>
        <w:tc>
          <w:tcPr>
            <w:tcW w:w="1050" w:type="pct"/>
            <w:hideMark/>
          </w:tcPr>
          <w:p w14:paraId="18C10CFD" w14:textId="77777777" w:rsidR="00275E37" w:rsidRPr="009378B2" w:rsidRDefault="00275E37" w:rsidP="000E642B">
            <w:pPr>
              <w:pStyle w:val="SJITableText"/>
            </w:pPr>
            <w:r w:rsidRPr="009378B2">
              <w:t>777.04(1)</w:t>
            </w:r>
          </w:p>
        </w:tc>
        <w:tc>
          <w:tcPr>
            <w:tcW w:w="750" w:type="pct"/>
            <w:hideMark/>
          </w:tcPr>
          <w:p w14:paraId="411BF617" w14:textId="77777777" w:rsidR="00275E37" w:rsidRPr="009378B2" w:rsidRDefault="00275E37" w:rsidP="000E642B">
            <w:pPr>
              <w:pStyle w:val="SJITableText"/>
            </w:pPr>
            <w:r w:rsidRPr="009378B2">
              <w:t>5.1</w:t>
            </w:r>
          </w:p>
        </w:tc>
      </w:tr>
    </w:tbl>
    <w:p w14:paraId="0BBCB94A" w14:textId="6BB80DB7" w:rsidR="00275E37" w:rsidRPr="00D10FF7" w:rsidRDefault="00275E37" w:rsidP="00D10FF7">
      <w:pPr>
        <w:pStyle w:val="SJIComments"/>
      </w:pPr>
      <w:r w:rsidRPr="00D10FF7">
        <w:t>Comments</w:t>
      </w:r>
    </w:p>
    <w:p w14:paraId="3793BD2C" w14:textId="77777777" w:rsidR="00275E37" w:rsidRDefault="00275E37" w:rsidP="009F5272">
      <w:r w:rsidRPr="009378B2">
        <w:t>A special instruction will be necessary in cases where the deadly weapon was an animal or a substance or something that is not commonly referred to as an “object.”</w:t>
      </w:r>
    </w:p>
    <w:p w14:paraId="3F0FB0F8" w14:textId="4642FC43" w:rsidR="004E09D9" w:rsidRPr="001635B4" w:rsidRDefault="008D758D" w:rsidP="009F5272">
      <w:r w:rsidRPr="001635B4">
        <w:t xml:space="preserve">*As of </w:t>
      </w:r>
      <w:r w:rsidR="00191505" w:rsidRPr="001635B4">
        <w:t>November</w:t>
      </w:r>
      <w:r w:rsidRPr="001635B4">
        <w:t xml:space="preserve"> 2024, it was unclear whether element #3 is required when the concealed item at issue is not listed in § 790.06(1)(a), Fla. Stat. For example, metallic knuckles are listed as a concealed weapon in § 790.001, Fla. Stat., but metallic knuckles are not an item for which someone can obtain a license to carry in a concealed manner. In the absence of appellate case law that interprets the interaction between § 790.01, Fla. Stat., and § 790.06(1)(a), Fla. Stat., trial judges will need to determine whether to instruct on element #3 in certain circumstances.</w:t>
      </w:r>
    </w:p>
    <w:p w14:paraId="7395BE0F" w14:textId="4E97F51A" w:rsidR="00DB2DBF" w:rsidRPr="001635B4" w:rsidRDefault="00DB2DBF" w:rsidP="00275E37">
      <w:pPr>
        <w:spacing w:after="280"/>
      </w:pPr>
      <w:r w:rsidRPr="001635B4">
        <w:t>**</w:t>
      </w:r>
      <w:r w:rsidR="00CB3F1B" w:rsidRPr="001635B4">
        <w:t xml:space="preserve">§ 790.015, Fla. Stat. allows a resident of the United States </w:t>
      </w:r>
      <w:r w:rsidR="00A53EB1" w:rsidRPr="001635B4">
        <w:t xml:space="preserve">but a nonresident of Florida </w:t>
      </w:r>
      <w:r w:rsidR="00CB3F1B" w:rsidRPr="001635B4">
        <w:t>to carry a concealed weapon</w:t>
      </w:r>
      <w:r w:rsidR="00A53EB1" w:rsidRPr="001635B4">
        <w:t>/</w:t>
      </w:r>
      <w:r w:rsidR="00CB3F1B" w:rsidRPr="001635B4">
        <w:t xml:space="preserve">firearm if the nonresident is 21 years of age or older, and either satisfies certain criteria to have a concealed weapon/firearm license in Florida or has a valid concealed weapon/firearm license in his or her immediate possession that </w:t>
      </w:r>
      <w:r w:rsidR="00A53EB1" w:rsidRPr="001635B4">
        <w:t xml:space="preserve">had been </w:t>
      </w:r>
      <w:r w:rsidR="00CB3F1B" w:rsidRPr="001635B4">
        <w:t xml:space="preserve">issued to him or her in his or her state of residence. </w:t>
      </w:r>
      <w:r w:rsidR="00A53EB1" w:rsidRPr="001635B4">
        <w:t xml:space="preserve">A </w:t>
      </w:r>
      <w:r w:rsidR="00CB3F1B" w:rsidRPr="001635B4">
        <w:t>special jury instruction will be necessary if those circumstances</w:t>
      </w:r>
      <w:r w:rsidR="00A53EB1" w:rsidRPr="001635B4">
        <w:t xml:space="preserve"> </w:t>
      </w:r>
      <w:r w:rsidR="00CB3F1B" w:rsidRPr="001635B4">
        <w:t xml:space="preserve">are relevant.    </w:t>
      </w:r>
    </w:p>
    <w:p w14:paraId="566925A9" w14:textId="23BA1395" w:rsidR="00BB687B" w:rsidRPr="001635B4" w:rsidRDefault="00BB687B" w:rsidP="00275E37">
      <w:pPr>
        <w:spacing w:after="280"/>
      </w:pPr>
      <w:r w:rsidRPr="001635B4">
        <w:t>Pursuant to § 790.25, Fla. Stat., a person 18 years of age or older who was in lawful possession of a handgun or other weapon may possess it within the interior of a private conveyance if the handgun or weapon was securely encased or otherwise not readily accessible for immediate use. </w:t>
      </w:r>
    </w:p>
    <w:p w14:paraId="0D7C5777" w14:textId="2691DF1D" w:rsidR="009435D1" w:rsidRPr="00275E37" w:rsidRDefault="00275E37">
      <w:pPr>
        <w:rPr>
          <w:b/>
          <w:bCs/>
        </w:rPr>
      </w:pPr>
      <w:r w:rsidRPr="009378B2">
        <w:t>This instruction was adopted in 1981 and was amended in 1989</w:t>
      </w:r>
      <w:r w:rsidRPr="00771AE5">
        <w:rPr>
          <w:strike/>
        </w:rPr>
        <w:t>,</w:t>
      </w:r>
      <w:r w:rsidRPr="009378B2">
        <w:t xml:space="preserve"> 2013 [131 So. 3d 720], 2018 [253 So. 3d 1040], on April 3, 2020,</w:t>
      </w:r>
      <w:r w:rsidR="001559E2">
        <w:t xml:space="preserve"> </w:t>
      </w:r>
      <w:r w:rsidRPr="009378B2">
        <w:t xml:space="preserve">on </w:t>
      </w:r>
      <w:r w:rsidRPr="001559E2">
        <w:t>January 29, 2021</w:t>
      </w:r>
      <w:r w:rsidR="00771AE5" w:rsidRPr="001559E2">
        <w:t xml:space="preserve">, </w:t>
      </w:r>
      <w:r w:rsidR="001559E2" w:rsidRPr="001559E2">
        <w:t>December 15, 2023</w:t>
      </w:r>
      <w:r w:rsidR="00611741" w:rsidRPr="00191505">
        <w:t xml:space="preserve">, and on </w:t>
      </w:r>
      <w:r w:rsidR="00191505" w:rsidRPr="00191505">
        <w:t xml:space="preserve">December 6, </w:t>
      </w:r>
      <w:r w:rsidR="00611741" w:rsidRPr="00191505">
        <w:t>2024</w:t>
      </w:r>
      <w:r w:rsidR="001559E2" w:rsidRPr="00191505">
        <w:t>.</w:t>
      </w:r>
    </w:p>
    <w:sectPr w:rsidR="009435D1" w:rsidRPr="00275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8D06A81"/>
    <w:multiLevelType w:val="hybridMultilevel"/>
    <w:tmpl w:val="FFFFFFFF"/>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7FE717D0"/>
    <w:multiLevelType w:val="multilevel"/>
    <w:tmpl w:val="6994E7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u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781147365">
    <w:abstractNumId w:val="1"/>
  </w:num>
  <w:num w:numId="2" w16cid:durableId="1223449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710438">
    <w:abstractNumId w:val="2"/>
  </w:num>
  <w:num w:numId="4" w16cid:durableId="1488017817">
    <w:abstractNumId w:val="0"/>
  </w:num>
  <w:num w:numId="5" w16cid:durableId="210182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7"/>
    <w:rsid w:val="000D548F"/>
    <w:rsid w:val="000E642B"/>
    <w:rsid w:val="001559E2"/>
    <w:rsid w:val="001635B4"/>
    <w:rsid w:val="00191505"/>
    <w:rsid w:val="00237443"/>
    <w:rsid w:val="00275E37"/>
    <w:rsid w:val="00276059"/>
    <w:rsid w:val="00287208"/>
    <w:rsid w:val="003E05DE"/>
    <w:rsid w:val="004D3AE2"/>
    <w:rsid w:val="004E09D9"/>
    <w:rsid w:val="005471A0"/>
    <w:rsid w:val="00611741"/>
    <w:rsid w:val="00721076"/>
    <w:rsid w:val="00771AE5"/>
    <w:rsid w:val="007C5BDA"/>
    <w:rsid w:val="007D1EBA"/>
    <w:rsid w:val="00802F43"/>
    <w:rsid w:val="008B3B30"/>
    <w:rsid w:val="008C400E"/>
    <w:rsid w:val="008D758D"/>
    <w:rsid w:val="00901914"/>
    <w:rsid w:val="009378B2"/>
    <w:rsid w:val="009435D1"/>
    <w:rsid w:val="009F5272"/>
    <w:rsid w:val="00A53EB1"/>
    <w:rsid w:val="00AB75E3"/>
    <w:rsid w:val="00BB687B"/>
    <w:rsid w:val="00C44BA7"/>
    <w:rsid w:val="00CB3F1B"/>
    <w:rsid w:val="00D10FF7"/>
    <w:rsid w:val="00D67BD4"/>
    <w:rsid w:val="00DB2DBF"/>
    <w:rsid w:val="00DD32A5"/>
    <w:rsid w:val="00E0367A"/>
    <w:rsid w:val="00E10F20"/>
    <w:rsid w:val="00E126A5"/>
    <w:rsid w:val="00F103AD"/>
    <w:rsid w:val="00F3312B"/>
    <w:rsid w:val="00FA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6EAC1"/>
  <w14:defaultImageDpi w14:val="0"/>
  <w15:docId w15:val="{44C38967-EC01-45AE-8736-E5ADD78C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E3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75E3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75E3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75E3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75E37"/>
    <w:pPr>
      <w:outlineLvl w:val="3"/>
    </w:pPr>
  </w:style>
  <w:style w:type="paragraph" w:styleId="Heading5">
    <w:name w:val="heading 5"/>
    <w:basedOn w:val="Normal"/>
    <w:next w:val="Normal"/>
    <w:link w:val="Heading5Char"/>
    <w:uiPriority w:val="9"/>
    <w:qFormat/>
    <w:rsid w:val="00275E3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75E3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75E3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75E3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75E3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5E3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75E3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75E3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75E3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75E3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75E37"/>
    <w:rPr>
      <w:rFonts w:ascii="Times New Roman" w:hAnsi="Times New Roman" w:cs="Times New Roman"/>
      <w:b/>
      <w:bCs/>
    </w:rPr>
  </w:style>
  <w:style w:type="character" w:customStyle="1" w:styleId="Heading7Char">
    <w:name w:val="Heading 7 Char"/>
    <w:basedOn w:val="DefaultParagraphFont"/>
    <w:link w:val="Heading7"/>
    <w:uiPriority w:val="9"/>
    <w:locked/>
    <w:rsid w:val="00275E3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75E3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75E3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character" w:customStyle="1" w:styleId="SJIBold">
    <w:name w:val="SJI Bold"/>
    <w:uiPriority w:val="1"/>
    <w:qFormat/>
    <w:rsid w:val="00275E37"/>
    <w:rPr>
      <w:b/>
    </w:rPr>
  </w:style>
  <w:style w:type="paragraph" w:customStyle="1" w:styleId="SJIStatuteinTitle">
    <w:name w:val="SJI Statute in Title"/>
    <w:basedOn w:val="Normal"/>
    <w:qFormat/>
    <w:rsid w:val="00275E3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75E37"/>
    <w:pPr>
      <w:tabs>
        <w:tab w:val="left" w:pos="720"/>
      </w:tabs>
      <w:suppressAutoHyphens/>
      <w:spacing w:after="0"/>
    </w:pPr>
    <w:rPr>
      <w:rFonts w:cs="Times New Roman"/>
      <w:i/>
      <w:iCs/>
      <w:szCs w:val="24"/>
    </w:rPr>
  </w:style>
  <w:style w:type="paragraph" w:customStyle="1" w:styleId="SJITableText">
    <w:name w:val="SJI Table Text"/>
    <w:basedOn w:val="Normal"/>
    <w:qFormat/>
    <w:rsid w:val="00275E3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275E37"/>
    <w:pPr>
      <w:spacing w:before="220"/>
      <w:ind w:firstLine="0"/>
      <w:jc w:val="center"/>
    </w:pPr>
    <w:rPr>
      <w:rFonts w:cs="Courier New"/>
      <w:b/>
    </w:rPr>
  </w:style>
  <w:style w:type="paragraph" w:styleId="ListParagraph">
    <w:name w:val="List Paragraph"/>
    <w:basedOn w:val="Normal"/>
    <w:uiPriority w:val="34"/>
    <w:qFormat/>
    <w:rsid w:val="00275E37"/>
    <w:pPr>
      <w:ind w:left="720"/>
    </w:pPr>
    <w:rPr>
      <w:rFonts w:cs="Times New Roman"/>
    </w:rPr>
  </w:style>
  <w:style w:type="table" w:customStyle="1" w:styleId="TableGrid1">
    <w:name w:val="Table Grid1"/>
    <w:basedOn w:val="TableNormal"/>
    <w:next w:val="TableGrid"/>
    <w:uiPriority w:val="99"/>
    <w:rsid w:val="00275E3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75E3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275E37"/>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275E37"/>
    <w:rPr>
      <w:rFonts w:cs="Times New Roman"/>
    </w:rPr>
  </w:style>
  <w:style w:type="paragraph" w:customStyle="1" w:styleId="SJITableTitle">
    <w:name w:val="SJI Table Title"/>
    <w:basedOn w:val="Normal"/>
    <w:qFormat/>
    <w:rsid w:val="00275E3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75E3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75E37"/>
    <w:pPr>
      <w:numPr>
        <w:numId w:val="5"/>
      </w:numPr>
    </w:pPr>
  </w:style>
  <w:style w:type="paragraph" w:customStyle="1" w:styleId="SJITableNotation">
    <w:name w:val="SJI Table Notation"/>
    <w:basedOn w:val="SJITableText"/>
    <w:qFormat/>
    <w:rsid w:val="00275E37"/>
    <w:pPr>
      <w:spacing w:before="120" w:after="240"/>
    </w:pPr>
  </w:style>
  <w:style w:type="character" w:customStyle="1" w:styleId="SJIUnderline">
    <w:name w:val="SJI Underline"/>
    <w:uiPriority w:val="1"/>
    <w:qFormat/>
    <w:rsid w:val="00275E37"/>
    <w:rPr>
      <w:rFonts w:ascii="Times New Roman" w:hAnsi="Times New Roman"/>
      <w:sz w:val="28"/>
      <w:u w:val="single"/>
    </w:rPr>
  </w:style>
  <w:style w:type="paragraph" w:styleId="Caption">
    <w:name w:val="caption"/>
    <w:basedOn w:val="Normal"/>
    <w:next w:val="Normal"/>
    <w:uiPriority w:val="35"/>
    <w:semiHidden/>
    <w:unhideWhenUsed/>
    <w:qFormat/>
    <w:rsid w:val="00275E3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75E37"/>
    <w:pPr>
      <w:jc w:val="center"/>
    </w:pPr>
    <w:rPr>
      <w:rFonts w:cs="Times New Roman"/>
      <w:b/>
      <w:bCs/>
      <w:sz w:val="28"/>
      <w:szCs w:val="28"/>
    </w:rPr>
  </w:style>
  <w:style w:type="character" w:customStyle="1" w:styleId="TitleChar">
    <w:name w:val="Title Char"/>
    <w:basedOn w:val="DefaultParagraphFont"/>
    <w:link w:val="Title"/>
    <w:uiPriority w:val="10"/>
    <w:locked/>
    <w:rsid w:val="00275E3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75E3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75E3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75E3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75E37"/>
    <w:rPr>
      <w:rFonts w:ascii="Bookman Old Style" w:hAnsi="Bookman Old Style" w:cs="Times New Roman"/>
      <w:color w:val="000000"/>
    </w:rPr>
  </w:style>
  <w:style w:type="paragraph" w:styleId="Quote">
    <w:name w:val="Quote"/>
    <w:basedOn w:val="Normal"/>
    <w:next w:val="Normal"/>
    <w:link w:val="QuoteChar"/>
    <w:uiPriority w:val="29"/>
    <w:qFormat/>
    <w:rsid w:val="00275E3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75E3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75E3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75E3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75E37"/>
    <w:pPr>
      <w:outlineLvl w:val="9"/>
    </w:pPr>
    <w:rPr>
      <w:b w:val="0"/>
      <w:caps w:val="0"/>
      <w:sz w:val="32"/>
    </w:rPr>
  </w:style>
  <w:style w:type="numbering" w:customStyle="1" w:styleId="NumberandSubs">
    <w:name w:val="Number and Subs"/>
    <w:pPr>
      <w:numPr>
        <w:numId w:val="1"/>
      </w:numPr>
    </w:pPr>
  </w:style>
  <w:style w:type="character" w:styleId="Hyperlink">
    <w:name w:val="Hyperlink"/>
    <w:basedOn w:val="DefaultParagraphFont"/>
    <w:uiPriority w:val="99"/>
    <w:unhideWhenUsed/>
    <w:rsid w:val="008D75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lsenate.gov/Laws/Statutes/2024/790.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2393-D3B2-4AAE-9589-0624FA51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 Ray</cp:lastModifiedBy>
  <cp:revision>4</cp:revision>
  <cp:lastPrinted>2024-08-16T19:54:00Z</cp:lastPrinted>
  <dcterms:created xsi:type="dcterms:W3CDTF">2024-12-06T17:50:00Z</dcterms:created>
  <dcterms:modified xsi:type="dcterms:W3CDTF">2024-12-06T20:55:00Z</dcterms:modified>
</cp:coreProperties>
</file>