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1FD6F" w14:textId="77777777" w:rsidR="003F031E" w:rsidRPr="00C1115F" w:rsidRDefault="003F031E" w:rsidP="003F031E">
      <w:pPr>
        <w:pStyle w:val="Heading3"/>
      </w:pPr>
      <w:bookmarkStart w:id="0" w:name="_Toc109650333"/>
      <w:bookmarkStart w:id="1" w:name="_Toc109807600"/>
      <w:r w:rsidRPr="00C1115F">
        <w:t>8.5(</w:t>
      </w:r>
      <w:r w:rsidRPr="00C1115F">
        <w:rPr>
          <w:caps w:val="0"/>
        </w:rPr>
        <w:t>a</w:t>
      </w:r>
      <w:r w:rsidRPr="00C1115F">
        <w:t>) DOMESTIC BATTERY BY STRANGULATION</w:t>
      </w:r>
      <w:bookmarkEnd w:id="0"/>
      <w:bookmarkEnd w:id="1"/>
    </w:p>
    <w:p w14:paraId="5B5458CC" w14:textId="77777777" w:rsidR="003F031E" w:rsidRPr="00C1115F" w:rsidRDefault="003F031E" w:rsidP="003F031E">
      <w:pPr>
        <w:pStyle w:val="SJIStatuteinTitle"/>
      </w:pPr>
      <w:r w:rsidRPr="00C1115F">
        <w:t>§ 784.041(2)(a), Fla. Stat.</w:t>
      </w:r>
    </w:p>
    <w:p w14:paraId="4DDF8345" w14:textId="77777777" w:rsidR="003F031E" w:rsidRPr="00C1115F" w:rsidRDefault="003F031E" w:rsidP="003F031E">
      <w:pPr>
        <w:autoSpaceDE w:val="0"/>
        <w:autoSpaceDN w:val="0"/>
        <w:adjustRightInd w:val="0"/>
        <w:spacing w:after="240"/>
        <w:rPr>
          <w:b/>
        </w:rPr>
      </w:pPr>
      <w:r w:rsidRPr="00C1115F">
        <w:rPr>
          <w:b/>
        </w:rPr>
        <w:t>To prove the crime of Domestic Battery by Strangulation, the State must prove the following three elements beyond a reasonable doubt:</w:t>
      </w:r>
    </w:p>
    <w:p w14:paraId="12BBBCE5" w14:textId="58F3C362" w:rsidR="003F031E" w:rsidRPr="00C1115F" w:rsidRDefault="003F031E" w:rsidP="003F031E">
      <w:pPr>
        <w:autoSpaceDE w:val="0"/>
        <w:autoSpaceDN w:val="0"/>
        <w:adjustRightInd w:val="0"/>
        <w:ind w:left="1440" w:hanging="720"/>
      </w:pPr>
      <w:r w:rsidRPr="00C1115F">
        <w:rPr>
          <w:b/>
        </w:rPr>
        <w:t>1.</w:t>
      </w:r>
      <w:r w:rsidRPr="00C1115F">
        <w:tab/>
        <w:t>(Defendant)</w:t>
      </w:r>
      <w:r w:rsidRPr="00C1115F">
        <w:rPr>
          <w:b/>
        </w:rPr>
        <w:t xml:space="preserve"> knowingly and intentionally impeded the normal [breathing] </w:t>
      </w:r>
      <w:r w:rsidR="00F11C42" w:rsidRPr="009D16F5">
        <w:rPr>
          <w:b/>
        </w:rPr>
        <w:t xml:space="preserve">[or] </w:t>
      </w:r>
      <w:r w:rsidRPr="00C1115F">
        <w:rPr>
          <w:b/>
        </w:rPr>
        <w:t xml:space="preserve">[circulation of the blood] of </w:t>
      </w:r>
      <w:r w:rsidRPr="00C1115F">
        <w:t>(victim</w:t>
      </w:r>
      <w:r w:rsidRPr="009D16F5">
        <w:t>)</w:t>
      </w:r>
      <w:r w:rsidR="00F11C42" w:rsidRPr="009D16F5">
        <w:rPr>
          <w:b/>
          <w:bCs/>
        </w:rPr>
        <w:t>,</w:t>
      </w:r>
      <w:r w:rsidRPr="009D16F5">
        <w:rPr>
          <w:b/>
        </w:rPr>
        <w:t xml:space="preserve"> </w:t>
      </w:r>
      <w:r w:rsidRPr="00C1115F">
        <w:rPr>
          <w:b/>
        </w:rPr>
        <w:t>against [his] [her] will</w:t>
      </w:r>
      <w:r w:rsidR="00F11C42" w:rsidRPr="009D16F5">
        <w:rPr>
          <w:b/>
        </w:rPr>
        <w:t>,</w:t>
      </w:r>
      <w:r w:rsidRPr="00C1115F">
        <w:rPr>
          <w:b/>
        </w:rPr>
        <w:t xml:space="preserve"> [by applying pressure on the throat or neck of </w:t>
      </w:r>
      <w:r w:rsidRPr="00C1115F">
        <w:t>(victim)</w:t>
      </w:r>
      <w:r w:rsidRPr="00C1115F">
        <w:rPr>
          <w:b/>
        </w:rPr>
        <w:t xml:space="preserve">] </w:t>
      </w:r>
      <w:r w:rsidR="00F11C42" w:rsidRPr="009D16F5">
        <w:rPr>
          <w:b/>
        </w:rPr>
        <w:t xml:space="preserve">[or] </w:t>
      </w:r>
      <w:r w:rsidRPr="009D16F5">
        <w:rPr>
          <w:b/>
        </w:rPr>
        <w:t>[by</w:t>
      </w:r>
      <w:r w:rsidRPr="00C1115F">
        <w:rPr>
          <w:b/>
        </w:rPr>
        <w:t xml:space="preserve"> blocking the nose or mouth of </w:t>
      </w:r>
      <w:r w:rsidRPr="00C1115F">
        <w:t>(victim)</w:t>
      </w:r>
      <w:r w:rsidRPr="00C1115F">
        <w:rPr>
          <w:b/>
        </w:rPr>
        <w:t>].</w:t>
      </w:r>
    </w:p>
    <w:p w14:paraId="474A53F7" w14:textId="5B5137C4" w:rsidR="003F031E" w:rsidRPr="00C1115F" w:rsidRDefault="003F031E" w:rsidP="003F031E">
      <w:pPr>
        <w:autoSpaceDE w:val="0"/>
        <w:autoSpaceDN w:val="0"/>
        <w:adjustRightInd w:val="0"/>
        <w:ind w:left="1440" w:hanging="720"/>
        <w:rPr>
          <w:b/>
        </w:rPr>
      </w:pPr>
      <w:r w:rsidRPr="00C1115F">
        <w:rPr>
          <w:b/>
        </w:rPr>
        <w:t>2.</w:t>
      </w:r>
      <w:r w:rsidRPr="00C1115F">
        <w:tab/>
      </w:r>
      <w:r w:rsidRPr="00C1115F">
        <w:rPr>
          <w:b/>
        </w:rPr>
        <w:t xml:space="preserve">In so doing, </w:t>
      </w:r>
      <w:r w:rsidRPr="00C1115F">
        <w:t>(Defendant)</w:t>
      </w:r>
      <w:r w:rsidRPr="00C1115F">
        <w:rPr>
          <w:b/>
        </w:rPr>
        <w:t xml:space="preserve"> [created a risk of great bodily harm</w:t>
      </w:r>
      <w:r w:rsidR="001F4141">
        <w:rPr>
          <w:b/>
          <w:u w:val="single"/>
        </w:rPr>
        <w:t>]</w:t>
      </w:r>
      <w:r w:rsidR="001F4141">
        <w:rPr>
          <w:b/>
        </w:rPr>
        <w:t xml:space="preserve"> [or] [</w:t>
      </w:r>
      <w:r w:rsidRPr="00C1115F">
        <w:rPr>
          <w:b/>
        </w:rPr>
        <w:t>caused great bodily harm</w:t>
      </w:r>
      <w:r w:rsidR="001F4141">
        <w:rPr>
          <w:b/>
        </w:rPr>
        <w:t>]</w:t>
      </w:r>
      <w:r w:rsidRPr="00C1115F">
        <w:rPr>
          <w:b/>
        </w:rPr>
        <w:t xml:space="preserve"> to </w:t>
      </w:r>
      <w:r w:rsidRPr="00C1115F">
        <w:t>(victim)</w:t>
      </w:r>
      <w:r w:rsidR="00F11C42">
        <w:rPr>
          <w:b/>
        </w:rPr>
        <w:t>.</w:t>
      </w:r>
    </w:p>
    <w:p w14:paraId="0983FC1B" w14:textId="5C47E2CF" w:rsidR="003F031E" w:rsidRPr="00C1115F" w:rsidRDefault="003F031E" w:rsidP="003F031E">
      <w:pPr>
        <w:autoSpaceDE w:val="0"/>
        <w:autoSpaceDN w:val="0"/>
        <w:adjustRightInd w:val="0"/>
        <w:ind w:left="1440" w:hanging="720"/>
        <w:rPr>
          <w:b/>
        </w:rPr>
      </w:pPr>
      <w:r w:rsidRPr="00C1115F">
        <w:rPr>
          <w:b/>
        </w:rPr>
        <w:t>3.</w:t>
      </w:r>
      <w:r w:rsidRPr="00C1115F">
        <w:rPr>
          <w:b/>
        </w:rPr>
        <w:tab/>
      </w:r>
      <w:r w:rsidRPr="00C1115F">
        <w:t>(</w:t>
      </w:r>
      <w:r w:rsidR="009D16F5">
        <w:t>D</w:t>
      </w:r>
      <w:r w:rsidRPr="00C1115F">
        <w:t>efendant)</w:t>
      </w:r>
      <w:r w:rsidRPr="00C1115F">
        <w:rPr>
          <w:b/>
        </w:rPr>
        <w:t xml:space="preserve"> was [a family or household member of </w:t>
      </w:r>
      <w:r w:rsidRPr="00C1115F">
        <w:t>(victim)</w:t>
      </w:r>
      <w:r w:rsidRPr="00C1115F">
        <w:rPr>
          <w:b/>
        </w:rPr>
        <w:t xml:space="preserve">] </w:t>
      </w:r>
      <w:r w:rsidR="00F11C42" w:rsidRPr="009D16F5">
        <w:rPr>
          <w:b/>
        </w:rPr>
        <w:t xml:space="preserve">[or] </w:t>
      </w:r>
      <w:r w:rsidRPr="009D16F5">
        <w:rPr>
          <w:b/>
        </w:rPr>
        <w:t>[</w:t>
      </w:r>
      <w:r w:rsidRPr="00C1115F">
        <w:rPr>
          <w:b/>
        </w:rPr>
        <w:t xml:space="preserve">in a dating relationship with </w:t>
      </w:r>
      <w:r w:rsidRPr="00C1115F">
        <w:t>(victim)</w:t>
      </w:r>
      <w:r w:rsidRPr="00C1115F">
        <w:rPr>
          <w:b/>
        </w:rPr>
        <w:t>]</w:t>
      </w:r>
      <w:r w:rsidR="00F11C42">
        <w:rPr>
          <w:b/>
        </w:rPr>
        <w:t>.</w:t>
      </w:r>
    </w:p>
    <w:p w14:paraId="276B5554" w14:textId="77777777" w:rsidR="003F031E" w:rsidRPr="00F11C42" w:rsidRDefault="003F031E" w:rsidP="003F031E">
      <w:pPr>
        <w:pStyle w:val="SJITextItalic"/>
      </w:pPr>
      <w:r w:rsidRPr="00F11C42">
        <w:t>Give as applicable.</w:t>
      </w:r>
    </w:p>
    <w:p w14:paraId="5BB52FDC" w14:textId="4CD50866" w:rsidR="003F031E" w:rsidRPr="00C1115F" w:rsidRDefault="003F031E" w:rsidP="003F031E">
      <w:pPr>
        <w:autoSpaceDE w:val="0"/>
        <w:autoSpaceDN w:val="0"/>
        <w:adjustRightInd w:val="0"/>
        <w:rPr>
          <w:b/>
        </w:rPr>
      </w:pPr>
      <w:r w:rsidRPr="00C1115F">
        <w:rPr>
          <w:b/>
        </w:rPr>
        <w:t xml:space="preserve">“Family or household member” means spouses, former spouses, persons related by blood or marriage, persons who are presently residing together as if a family or who have resided together in the past as if a family, and persons who are parents of a child in common regardless of whether they have been married. </w:t>
      </w:r>
      <w:proofErr w:type="gramStart"/>
      <w:r w:rsidRPr="00C1115F">
        <w:rPr>
          <w:b/>
        </w:rPr>
        <w:t>With the exception of</w:t>
      </w:r>
      <w:proofErr w:type="gramEnd"/>
      <w:r w:rsidRPr="00C1115F">
        <w:rPr>
          <w:b/>
        </w:rPr>
        <w:t xml:space="preserve"> persons who have a child in common, the family or household members must be currently residing or have in the past resided together in the same single dwelling unit.</w:t>
      </w:r>
    </w:p>
    <w:p w14:paraId="50F9FB8A" w14:textId="77777777" w:rsidR="003F031E" w:rsidRPr="00C1115F" w:rsidRDefault="003F031E" w:rsidP="003F031E">
      <w:pPr>
        <w:autoSpaceDE w:val="0"/>
        <w:autoSpaceDN w:val="0"/>
        <w:adjustRightInd w:val="0"/>
        <w:rPr>
          <w:b/>
        </w:rPr>
      </w:pPr>
      <w:r w:rsidRPr="00C1115F">
        <w:rPr>
          <w:b/>
        </w:rPr>
        <w:t>“Dating relationship” means a continuing and significant relationship of a romantic or intimate nature.</w:t>
      </w:r>
    </w:p>
    <w:p w14:paraId="2133B733" w14:textId="77777777" w:rsidR="003F031E" w:rsidRPr="00C1115F" w:rsidRDefault="003F031E" w:rsidP="003F031E">
      <w:pPr>
        <w:pStyle w:val="SJITextItalic"/>
      </w:pPr>
      <w:r w:rsidRPr="00C1115F">
        <w:t>Wh</w:t>
      </w:r>
      <w:r>
        <w:t>e</w:t>
      </w:r>
      <w:r w:rsidRPr="00C1115F">
        <w:t>eler v. State, 203 So. 3d 1007 (Fla. 4th DCA 2016).</w:t>
      </w:r>
    </w:p>
    <w:p w14:paraId="5807DFBD" w14:textId="77777777" w:rsidR="003F031E" w:rsidRPr="00C1115F" w:rsidRDefault="003F031E" w:rsidP="003F031E">
      <w:pPr>
        <w:rPr>
          <w:b/>
        </w:rPr>
      </w:pPr>
      <w:r w:rsidRPr="00C1115F">
        <w:rPr>
          <w:b/>
        </w:rPr>
        <w:t xml:space="preserve">“Great bodily harm” means great as distinguished from slight, trivial, minor, or moderate harm, and as such does not include mere bruises. </w:t>
      </w:r>
    </w:p>
    <w:p w14:paraId="411F490D" w14:textId="77777777" w:rsidR="003F031E" w:rsidRPr="00C1115F" w:rsidRDefault="003F031E" w:rsidP="003F031E">
      <w:pPr>
        <w:pStyle w:val="SJIComments"/>
      </w:pPr>
      <w:r w:rsidRPr="00C1115F">
        <w:t>Lesser Included Offenses</w:t>
      </w:r>
    </w:p>
    <w:p w14:paraId="68424712" w14:textId="0354E23A" w:rsidR="003F031E" w:rsidRPr="00C1115F" w:rsidRDefault="003F031E" w:rsidP="003F031E">
      <w:pPr>
        <w:pStyle w:val="Heading4"/>
      </w:pPr>
      <w:bookmarkStart w:id="2" w:name="_Toc109650334"/>
      <w:r w:rsidRPr="00C1115F">
        <w:t>DOMESTIC BATTERY BY STRANGULATION – 784.041(2)(</w:t>
      </w:r>
      <w:r w:rsidRPr="00C1115F">
        <w:rPr>
          <w:caps w:val="0"/>
        </w:rPr>
        <w:t>a</w:t>
      </w:r>
      <w:r w:rsidRPr="00C1115F">
        <w:t>)</w:t>
      </w:r>
      <w:bookmarkEnd w:id="2"/>
    </w:p>
    <w:tbl>
      <w:tblPr>
        <w:tblStyle w:val="TableGrid1"/>
        <w:tblW w:w="5000" w:type="pct"/>
        <w:tblLook w:val="0020" w:firstRow="1" w:lastRow="0" w:firstColumn="0" w:lastColumn="0" w:noHBand="0" w:noVBand="0"/>
      </w:tblPr>
      <w:tblGrid>
        <w:gridCol w:w="2986"/>
        <w:gridCol w:w="2597"/>
        <w:gridCol w:w="1949"/>
        <w:gridCol w:w="1818"/>
      </w:tblGrid>
      <w:tr w:rsidR="003F031E" w:rsidRPr="00C1115F" w14:paraId="7E9AA069" w14:textId="77777777" w:rsidTr="00B865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7" w:type="pct"/>
          </w:tcPr>
          <w:p w14:paraId="51AD6517" w14:textId="77777777" w:rsidR="003F031E" w:rsidRPr="00D42FA0" w:rsidRDefault="003F031E" w:rsidP="00B86595">
            <w:pPr>
              <w:pStyle w:val="SJITableText"/>
            </w:pPr>
            <w:r w:rsidRPr="00D42FA0">
              <w:t>CATEGORY ONE</w:t>
            </w:r>
          </w:p>
        </w:tc>
        <w:tc>
          <w:tcPr>
            <w:tcW w:w="1389" w:type="pct"/>
          </w:tcPr>
          <w:p w14:paraId="040BFE3F" w14:textId="77777777" w:rsidR="003F031E" w:rsidRPr="00D42FA0" w:rsidRDefault="003F031E" w:rsidP="00B86595">
            <w:pPr>
              <w:pStyle w:val="SJITableText"/>
            </w:pPr>
            <w:r w:rsidRPr="00D42FA0">
              <w:t>CATEGORY TWO</w:t>
            </w:r>
          </w:p>
        </w:tc>
        <w:tc>
          <w:tcPr>
            <w:tcW w:w="1042" w:type="pct"/>
          </w:tcPr>
          <w:p w14:paraId="5B257706" w14:textId="77777777" w:rsidR="003F031E" w:rsidRPr="00D42FA0" w:rsidRDefault="003F031E" w:rsidP="00B86595">
            <w:pPr>
              <w:pStyle w:val="SJITableText"/>
            </w:pPr>
            <w:r w:rsidRPr="00D42FA0">
              <w:t>FLA. STAT.</w:t>
            </w:r>
          </w:p>
        </w:tc>
        <w:tc>
          <w:tcPr>
            <w:tcW w:w="972" w:type="pct"/>
          </w:tcPr>
          <w:p w14:paraId="47540D9A" w14:textId="77777777" w:rsidR="003F031E" w:rsidRPr="00D42FA0" w:rsidRDefault="003F031E" w:rsidP="00B86595">
            <w:pPr>
              <w:pStyle w:val="SJITableText"/>
            </w:pPr>
            <w:r w:rsidRPr="00D42FA0">
              <w:t>INS. NO.</w:t>
            </w:r>
          </w:p>
        </w:tc>
      </w:tr>
      <w:tr w:rsidR="00F11C42" w:rsidRPr="00C1115F" w14:paraId="05F62405" w14:textId="77777777" w:rsidTr="009D16F5">
        <w:trPr>
          <w:trHeight w:val="107"/>
        </w:trPr>
        <w:tc>
          <w:tcPr>
            <w:tcW w:w="1597" w:type="pct"/>
          </w:tcPr>
          <w:p w14:paraId="254417C2" w14:textId="417AA587" w:rsidR="00F11C42" w:rsidRPr="009D16F5" w:rsidRDefault="00F11C42" w:rsidP="00B86595">
            <w:pPr>
              <w:pStyle w:val="SJITableText"/>
            </w:pPr>
            <w:r w:rsidRPr="009D16F5">
              <w:t xml:space="preserve">Battery by Strangulation </w:t>
            </w:r>
          </w:p>
        </w:tc>
        <w:tc>
          <w:tcPr>
            <w:tcW w:w="1389" w:type="pct"/>
          </w:tcPr>
          <w:p w14:paraId="4050224D" w14:textId="77777777" w:rsidR="00F11C42" w:rsidRPr="009D16F5" w:rsidRDefault="00F11C42" w:rsidP="00B86595">
            <w:pPr>
              <w:pStyle w:val="SJITableText"/>
            </w:pPr>
          </w:p>
        </w:tc>
        <w:tc>
          <w:tcPr>
            <w:tcW w:w="1042" w:type="pct"/>
          </w:tcPr>
          <w:p w14:paraId="5D40BFFC" w14:textId="6F132A45" w:rsidR="00F11C42" w:rsidRPr="009D16F5" w:rsidRDefault="00F11C42" w:rsidP="00B86595">
            <w:pPr>
              <w:pStyle w:val="SJITableText"/>
            </w:pPr>
            <w:r w:rsidRPr="009D16F5">
              <w:t>784.031</w:t>
            </w:r>
          </w:p>
        </w:tc>
        <w:tc>
          <w:tcPr>
            <w:tcW w:w="972" w:type="pct"/>
          </w:tcPr>
          <w:p w14:paraId="1812027D" w14:textId="6E30F644" w:rsidR="00F11C42" w:rsidRPr="009D16F5" w:rsidRDefault="00F11C42" w:rsidP="00B86595">
            <w:pPr>
              <w:pStyle w:val="SJITableText"/>
            </w:pPr>
            <w:r w:rsidRPr="009D16F5">
              <w:t>8.5(b)</w:t>
            </w:r>
          </w:p>
        </w:tc>
      </w:tr>
      <w:tr w:rsidR="003F031E" w:rsidRPr="00C1115F" w14:paraId="03FA1252" w14:textId="77777777" w:rsidTr="00B86595">
        <w:tc>
          <w:tcPr>
            <w:tcW w:w="1597" w:type="pct"/>
          </w:tcPr>
          <w:p w14:paraId="0D08E9B0" w14:textId="77777777" w:rsidR="003F031E" w:rsidRPr="00C1115F" w:rsidRDefault="003F031E" w:rsidP="00B86595">
            <w:pPr>
              <w:pStyle w:val="SJITableText"/>
            </w:pPr>
            <w:r w:rsidRPr="00C1115F">
              <w:t>Battery</w:t>
            </w:r>
          </w:p>
        </w:tc>
        <w:tc>
          <w:tcPr>
            <w:tcW w:w="1389" w:type="pct"/>
          </w:tcPr>
          <w:p w14:paraId="29F9BD0F" w14:textId="77777777" w:rsidR="003F031E" w:rsidRPr="00C1115F" w:rsidRDefault="003F031E" w:rsidP="00B86595">
            <w:pPr>
              <w:pStyle w:val="SJITableText"/>
            </w:pPr>
          </w:p>
        </w:tc>
        <w:tc>
          <w:tcPr>
            <w:tcW w:w="1042" w:type="pct"/>
          </w:tcPr>
          <w:p w14:paraId="6CD6C429" w14:textId="77777777" w:rsidR="003F031E" w:rsidRPr="00C1115F" w:rsidRDefault="003F031E" w:rsidP="00B86595">
            <w:pPr>
              <w:pStyle w:val="SJITableText"/>
            </w:pPr>
            <w:r w:rsidRPr="00C1115F">
              <w:t>784.03</w:t>
            </w:r>
          </w:p>
        </w:tc>
        <w:tc>
          <w:tcPr>
            <w:tcW w:w="972" w:type="pct"/>
          </w:tcPr>
          <w:p w14:paraId="06303F53" w14:textId="77777777" w:rsidR="003F031E" w:rsidRPr="00C1115F" w:rsidRDefault="003F031E" w:rsidP="00B86595">
            <w:pPr>
              <w:pStyle w:val="SJITableText"/>
            </w:pPr>
            <w:r w:rsidRPr="00C1115F">
              <w:t>8.3</w:t>
            </w:r>
          </w:p>
        </w:tc>
      </w:tr>
      <w:tr w:rsidR="003F031E" w:rsidRPr="00C1115F" w14:paraId="29711976" w14:textId="77777777" w:rsidTr="00B86595">
        <w:tc>
          <w:tcPr>
            <w:tcW w:w="1597" w:type="pct"/>
          </w:tcPr>
          <w:p w14:paraId="2B9D8BFD" w14:textId="77777777" w:rsidR="003F031E" w:rsidRPr="00C1115F" w:rsidRDefault="003F031E" w:rsidP="00B86595">
            <w:pPr>
              <w:pStyle w:val="SJITableText"/>
            </w:pPr>
          </w:p>
        </w:tc>
        <w:tc>
          <w:tcPr>
            <w:tcW w:w="1389" w:type="pct"/>
          </w:tcPr>
          <w:p w14:paraId="5610253A" w14:textId="30B6A312" w:rsidR="003F031E" w:rsidRPr="00F11C42" w:rsidRDefault="00F11C42" w:rsidP="00B86595">
            <w:pPr>
              <w:pStyle w:val="SJITableText"/>
              <w:rPr>
                <w:strike/>
                <w:u w:val="single"/>
              </w:rPr>
            </w:pPr>
            <w:r w:rsidRPr="00F11C42">
              <w:rPr>
                <w:u w:val="single"/>
              </w:rPr>
              <w:t xml:space="preserve">Attempt </w:t>
            </w:r>
          </w:p>
        </w:tc>
        <w:tc>
          <w:tcPr>
            <w:tcW w:w="1042" w:type="pct"/>
          </w:tcPr>
          <w:p w14:paraId="44710460" w14:textId="70C28CE8" w:rsidR="003F031E" w:rsidRPr="00F11C42" w:rsidRDefault="00F11C42" w:rsidP="00B86595">
            <w:pPr>
              <w:pStyle w:val="SJITableText"/>
              <w:rPr>
                <w:u w:val="single"/>
              </w:rPr>
            </w:pPr>
            <w:r>
              <w:rPr>
                <w:u w:val="single"/>
              </w:rPr>
              <w:t>777.04(1)</w:t>
            </w:r>
          </w:p>
        </w:tc>
        <w:tc>
          <w:tcPr>
            <w:tcW w:w="972" w:type="pct"/>
          </w:tcPr>
          <w:p w14:paraId="3EC1BCB4" w14:textId="5F2359A4" w:rsidR="003F031E" w:rsidRPr="00F11C42" w:rsidRDefault="00F11C42" w:rsidP="00B86595">
            <w:pPr>
              <w:pStyle w:val="SJITableText"/>
              <w:rPr>
                <w:u w:val="single"/>
              </w:rPr>
            </w:pPr>
            <w:r>
              <w:rPr>
                <w:u w:val="single"/>
              </w:rPr>
              <w:t>5.1</w:t>
            </w:r>
          </w:p>
        </w:tc>
      </w:tr>
    </w:tbl>
    <w:p w14:paraId="72EA9610" w14:textId="77777777" w:rsidR="003F031E" w:rsidRPr="00C1115F" w:rsidRDefault="003F031E" w:rsidP="003F031E">
      <w:pPr>
        <w:pStyle w:val="SJIComments"/>
      </w:pPr>
      <w:r w:rsidRPr="00C1115F">
        <w:t>Comment</w:t>
      </w:r>
    </w:p>
    <w:p w14:paraId="0975D025" w14:textId="52E2454D" w:rsidR="009435D1" w:rsidRDefault="003F031E">
      <w:r w:rsidRPr="00C1115F">
        <w:t>This instruction was adopted in 2008 [994 So. 2d 1038]</w:t>
      </w:r>
      <w:r>
        <w:t xml:space="preserve"> </w:t>
      </w:r>
      <w:r w:rsidRPr="00C1115F">
        <w:t>and amended in 2019</w:t>
      </w:r>
      <w:r w:rsidR="00F11C42">
        <w:t xml:space="preserve"> </w:t>
      </w:r>
      <w:r w:rsidR="00F11C42" w:rsidRPr="009D16F5">
        <w:t xml:space="preserve">[267 So. 3d 980], and on </w:t>
      </w:r>
      <w:r w:rsidR="009D16F5" w:rsidRPr="009D16F5">
        <w:t>March 8,</w:t>
      </w:r>
      <w:r w:rsidR="00F11C42" w:rsidRPr="009D16F5">
        <w:t xml:space="preserve"> 2024</w:t>
      </w:r>
      <w:r w:rsidRPr="009D16F5">
        <w:t>.</w:t>
      </w:r>
    </w:p>
    <w:sectPr w:rsidR="00943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61D99"/>
    <w:multiLevelType w:val="hybridMultilevel"/>
    <w:tmpl w:val="FFFFFFFF"/>
    <w:lvl w:ilvl="0" w:tplc="C5B6639A">
      <w:start w:val="1"/>
      <w:numFmt w:val="decimal"/>
      <w:pStyle w:val="SJINumberedParagraph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8156103"/>
    <w:multiLevelType w:val="multilevel"/>
    <w:tmpl w:val="FFFFFFFF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334378293">
    <w:abstractNumId w:val="1"/>
  </w:num>
  <w:num w:numId="2" w16cid:durableId="40592375">
    <w:abstractNumId w:val="0"/>
  </w:num>
  <w:num w:numId="3" w16cid:durableId="1399941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31E"/>
    <w:rsid w:val="001F4141"/>
    <w:rsid w:val="00276059"/>
    <w:rsid w:val="00367710"/>
    <w:rsid w:val="003E05DE"/>
    <w:rsid w:val="003F031E"/>
    <w:rsid w:val="007D1EBA"/>
    <w:rsid w:val="009435D1"/>
    <w:rsid w:val="009D16F5"/>
    <w:rsid w:val="00A715D4"/>
    <w:rsid w:val="00B86595"/>
    <w:rsid w:val="00C1115F"/>
    <w:rsid w:val="00D42FA0"/>
    <w:rsid w:val="00D724AD"/>
    <w:rsid w:val="00F11C42"/>
    <w:rsid w:val="00F5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5D12D5"/>
  <w14:defaultImageDpi w14:val="0"/>
  <w15:docId w15:val="{CE7D38F5-0A4C-4A6F-BE51-82D9DD62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31E"/>
    <w:pPr>
      <w:spacing w:after="220"/>
      <w:ind w:firstLine="720"/>
    </w:pPr>
    <w:rPr>
      <w:rFonts w:ascii="Bookman Old Style" w:hAnsi="Bookman Old Style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031E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F031E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F031E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3F031E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3F031E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3F031E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3F031E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3F031E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3F031E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F031E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3F031E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3F031E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3F031E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3F031E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3F031E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3F031E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3F031E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3F031E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SJIStatuteinTitle">
    <w:name w:val="SJI Statute in Title"/>
    <w:basedOn w:val="Normal"/>
    <w:qFormat/>
    <w:rsid w:val="003F031E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3F031E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TableText">
    <w:name w:val="SJI Table Text"/>
    <w:basedOn w:val="Normal"/>
    <w:qFormat/>
    <w:rsid w:val="003F031E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Comments">
    <w:name w:val="SJI Comments"/>
    <w:basedOn w:val="Normal"/>
    <w:qFormat/>
    <w:rsid w:val="003F031E"/>
    <w:pPr>
      <w:spacing w:before="220"/>
      <w:ind w:firstLine="0"/>
      <w:jc w:val="center"/>
    </w:pPr>
    <w:rPr>
      <w:rFonts w:cs="Courier New"/>
      <w:b/>
    </w:rPr>
  </w:style>
  <w:style w:type="table" w:customStyle="1" w:styleId="TableGrid1">
    <w:name w:val="Table Grid1"/>
    <w:basedOn w:val="TableNormal"/>
    <w:next w:val="TableGrid"/>
    <w:uiPriority w:val="99"/>
    <w:rsid w:val="003F031E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  <w:style w:type="table" w:styleId="TableGrid">
    <w:name w:val="Table Grid"/>
    <w:basedOn w:val="TableNormal"/>
    <w:uiPriority w:val="39"/>
    <w:rsid w:val="003F031E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JIlist1">
    <w:name w:val="SJI list 1"/>
    <w:basedOn w:val="Normal"/>
    <w:qFormat/>
    <w:rsid w:val="003F031E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character" w:customStyle="1" w:styleId="SJIBold">
    <w:name w:val="SJI Bold"/>
    <w:uiPriority w:val="1"/>
    <w:qFormat/>
    <w:rsid w:val="003F031E"/>
    <w:rPr>
      <w:b/>
    </w:rPr>
  </w:style>
  <w:style w:type="paragraph" w:customStyle="1" w:styleId="SJIText">
    <w:name w:val="SJI Text"/>
    <w:basedOn w:val="Normal"/>
    <w:next w:val="Normal"/>
    <w:qFormat/>
    <w:rsid w:val="003F031E"/>
    <w:rPr>
      <w:rFonts w:cs="Times New Roman"/>
    </w:rPr>
  </w:style>
  <w:style w:type="paragraph" w:customStyle="1" w:styleId="SJITableTitle">
    <w:name w:val="SJI Table Title"/>
    <w:basedOn w:val="Normal"/>
    <w:qFormat/>
    <w:rsid w:val="003F031E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Instructionlist1">
    <w:name w:val="SJI Instruction list 1"/>
    <w:basedOn w:val="Normal"/>
    <w:qFormat/>
    <w:rsid w:val="003F031E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3F031E"/>
    <w:pPr>
      <w:numPr>
        <w:numId w:val="3"/>
      </w:numPr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3F031E"/>
    <w:pPr>
      <w:ind w:left="720"/>
    </w:pPr>
  </w:style>
  <w:style w:type="paragraph" w:customStyle="1" w:styleId="SJITableNotation">
    <w:name w:val="SJI Table Notation"/>
    <w:basedOn w:val="SJITableText"/>
    <w:qFormat/>
    <w:rsid w:val="003F031E"/>
    <w:pPr>
      <w:spacing w:before="120" w:after="240"/>
    </w:pPr>
  </w:style>
  <w:style w:type="character" w:customStyle="1" w:styleId="SJIUnderline">
    <w:name w:val="SJI Underline"/>
    <w:uiPriority w:val="1"/>
    <w:qFormat/>
    <w:rsid w:val="003F031E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031E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3F031E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3F031E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NoSpacing">
    <w:name w:val="No Spacing"/>
    <w:next w:val="Normal"/>
    <w:link w:val="NoSpacingChar"/>
    <w:uiPriority w:val="1"/>
    <w:qFormat/>
    <w:rsid w:val="003F031E"/>
    <w:pPr>
      <w:spacing w:after="0" w:line="240" w:lineRule="auto"/>
    </w:pPr>
    <w:rPr>
      <w:rFonts w:ascii="Bookman Old Style" w:hAnsi="Bookman Old Style" w:cs="Calibri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31E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F031E"/>
    <w:rPr>
      <w:rFonts w:eastAsiaTheme="minorEastAsia" w:cs="Times New Roman"/>
      <w:color w:val="5A5A5A" w:themeColor="text1" w:themeTint="A5"/>
      <w:spacing w:val="1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3F031E"/>
    <w:rPr>
      <w:rFonts w:ascii="Bookman Old Style" w:hAnsi="Bookman Old Style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3F031E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3F031E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31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3F031E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031E"/>
    <w:pPr>
      <w:outlineLvl w:val="9"/>
    </w:pPr>
    <w:rPr>
      <w:b w:val="0"/>
      <w:caps w:val="0"/>
      <w:sz w:val="32"/>
    </w:rPr>
  </w:style>
  <w:style w:type="numbering" w:customStyle="1" w:styleId="NumberandSubs">
    <w:name w:val="Number and Sub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Ray, Susan D</cp:lastModifiedBy>
  <cp:revision>4</cp:revision>
  <dcterms:created xsi:type="dcterms:W3CDTF">2024-03-12T14:35:00Z</dcterms:created>
  <dcterms:modified xsi:type="dcterms:W3CDTF">2024-03-12T16:29:00Z</dcterms:modified>
</cp:coreProperties>
</file>