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4F7E" w14:textId="77777777" w:rsidR="009E531C" w:rsidRPr="00D86807" w:rsidRDefault="009E531C" w:rsidP="009E531C">
      <w:pPr>
        <w:pStyle w:val="Heading3"/>
      </w:pPr>
      <w:bookmarkStart w:id="0" w:name="_Toc109650323"/>
      <w:bookmarkStart w:id="1" w:name="_Toc109807595"/>
      <w:bookmarkStart w:id="2" w:name="OLE_LINK5"/>
      <w:bookmarkStart w:id="3" w:name="OLE_LINK6"/>
      <w:r w:rsidRPr="00D86807">
        <w:t>8.2 AGGRAVATED ASSAULT</w:t>
      </w:r>
      <w:bookmarkEnd w:id="0"/>
      <w:bookmarkEnd w:id="1"/>
    </w:p>
    <w:bookmarkEnd w:id="2"/>
    <w:bookmarkEnd w:id="3"/>
    <w:p w14:paraId="73E1938D" w14:textId="77777777" w:rsidR="009E531C" w:rsidRPr="00D86807" w:rsidRDefault="009E531C" w:rsidP="009E531C">
      <w:pPr>
        <w:pStyle w:val="SJIStatuteinTitle"/>
      </w:pPr>
      <w:r w:rsidRPr="00D86807">
        <w:t>§ 784.021, Fla. Stat.</w:t>
      </w:r>
    </w:p>
    <w:p w14:paraId="2FE66EF3" w14:textId="77777777" w:rsidR="009E531C" w:rsidRPr="00D86807" w:rsidRDefault="009E531C" w:rsidP="009E531C">
      <w:pPr>
        <w:rPr>
          <w:b/>
          <w:bCs/>
        </w:rPr>
      </w:pPr>
      <w:r w:rsidRPr="00D86807">
        <w:rPr>
          <w:b/>
          <w:bCs/>
        </w:rPr>
        <w:t>To prove the crime of Aggravated Assault, the State must prove the following four elements beyond a reasonable doubt. The first three elements define Assault.</w:t>
      </w:r>
    </w:p>
    <w:p w14:paraId="363B3B51" w14:textId="77777777" w:rsidR="009E531C" w:rsidRPr="00332114" w:rsidRDefault="009E531C" w:rsidP="009E531C">
      <w:pPr>
        <w:pStyle w:val="ListParagraph"/>
        <w:numPr>
          <w:ilvl w:val="0"/>
          <w:numId w:val="2"/>
        </w:numPr>
      </w:pPr>
      <w:r w:rsidRPr="00332114">
        <w:t xml:space="preserve">(Defendant) </w:t>
      </w:r>
      <w:r w:rsidRPr="00332114">
        <w:rPr>
          <w:b/>
          <w:bCs/>
        </w:rPr>
        <w:t>intentionally and unlawfully threatened, either by word or act, to do violence to</w:t>
      </w:r>
      <w:r w:rsidRPr="00332114">
        <w:t xml:space="preserve"> (victim)</w:t>
      </w:r>
      <w:r w:rsidRPr="00332114">
        <w:rPr>
          <w:b/>
          <w:bCs/>
        </w:rPr>
        <w:t>.</w:t>
      </w:r>
    </w:p>
    <w:p w14:paraId="195F6081" w14:textId="77777777" w:rsidR="009E531C" w:rsidRPr="00332114" w:rsidRDefault="009E531C" w:rsidP="009E531C">
      <w:pPr>
        <w:pStyle w:val="ListParagraph"/>
        <w:numPr>
          <w:ilvl w:val="0"/>
          <w:numId w:val="2"/>
        </w:numPr>
        <w:rPr>
          <w:b/>
          <w:bCs/>
        </w:rPr>
      </w:pPr>
      <w:r w:rsidRPr="00332114">
        <w:rPr>
          <w:b/>
          <w:bCs/>
        </w:rPr>
        <w:t>At the time,</w:t>
      </w:r>
      <w:r w:rsidRPr="00332114">
        <w:t xml:space="preserve"> (defendant) </w:t>
      </w:r>
      <w:r w:rsidRPr="00332114">
        <w:rPr>
          <w:b/>
          <w:bCs/>
        </w:rPr>
        <w:t>appeared to have the ability to carry out the threat.</w:t>
      </w:r>
    </w:p>
    <w:p w14:paraId="7B05F2AD" w14:textId="77777777" w:rsidR="009E531C" w:rsidRPr="00332114" w:rsidRDefault="009E531C" w:rsidP="009E531C">
      <w:pPr>
        <w:pStyle w:val="ListParagraph"/>
        <w:numPr>
          <w:ilvl w:val="0"/>
          <w:numId w:val="2"/>
        </w:numPr>
        <w:rPr>
          <w:b/>
          <w:bCs/>
        </w:rPr>
      </w:pPr>
      <w:r w:rsidRPr="00332114">
        <w:rPr>
          <w:b/>
          <w:bCs/>
        </w:rPr>
        <w:t>The act of</w:t>
      </w:r>
      <w:r w:rsidRPr="00332114">
        <w:t xml:space="preserve"> (defendant) </w:t>
      </w:r>
      <w:r w:rsidRPr="00332114">
        <w:rPr>
          <w:b/>
          <w:bCs/>
        </w:rPr>
        <w:t>created in the mind of</w:t>
      </w:r>
      <w:r w:rsidRPr="00332114">
        <w:t xml:space="preserve"> (victim) </w:t>
      </w:r>
      <w:r w:rsidRPr="00332114">
        <w:rPr>
          <w:b/>
          <w:bCs/>
        </w:rPr>
        <w:t>a well-founded fear that the violence was about to take place.</w:t>
      </w:r>
    </w:p>
    <w:p w14:paraId="2E3BD16F" w14:textId="77777777" w:rsidR="009E531C" w:rsidRDefault="009E531C" w:rsidP="006C369E">
      <w:pPr>
        <w:pStyle w:val="SJITextItalic"/>
      </w:pPr>
      <w:r w:rsidRPr="00D86807">
        <w:t>Give 4a or 4b or both</w:t>
      </w:r>
      <w:r w:rsidRPr="001C1110">
        <w:t xml:space="preserve"> </w:t>
      </w:r>
      <w:r w:rsidRPr="00D86807">
        <w:t>as applicable. If 4b is alleged, give the elements of the felony charged.</w:t>
      </w:r>
    </w:p>
    <w:p w14:paraId="47DE4918" w14:textId="77777777" w:rsidR="009E531C" w:rsidRPr="003019C1" w:rsidRDefault="009E531C" w:rsidP="009E531C">
      <w:pPr>
        <w:pStyle w:val="ListParagraph"/>
        <w:numPr>
          <w:ilvl w:val="0"/>
          <w:numId w:val="2"/>
        </w:numPr>
        <w:tabs>
          <w:tab w:val="left" w:pos="720"/>
        </w:tabs>
        <w:suppressAutoHyphens/>
        <w:ind w:left="1530" w:hanging="450"/>
        <w:rPr>
          <w:i/>
          <w:iCs/>
        </w:rPr>
      </w:pPr>
      <w:r w:rsidRPr="00410524">
        <w:rPr>
          <w:b/>
          <w:bCs/>
        </w:rPr>
        <w:t>a</w:t>
      </w:r>
      <w:r>
        <w:rPr>
          <w:b/>
          <w:bCs/>
        </w:rPr>
        <w:t>.</w:t>
      </w:r>
      <w:r>
        <w:rPr>
          <w:b/>
          <w:bCs/>
        </w:rPr>
        <w:tab/>
      </w:r>
      <w:r w:rsidRPr="00332114">
        <w:rPr>
          <w:b/>
          <w:bCs/>
        </w:rPr>
        <w:t>The assault was made with a deadly weapon.</w:t>
      </w:r>
    </w:p>
    <w:p w14:paraId="35A6F948" w14:textId="77777777" w:rsidR="009E531C" w:rsidRPr="00332114" w:rsidRDefault="009E531C" w:rsidP="006C369E">
      <w:pPr>
        <w:suppressAutoHyphens/>
        <w:ind w:left="2246" w:hanging="720"/>
      </w:pPr>
      <w:r w:rsidRPr="00410524">
        <w:rPr>
          <w:b/>
          <w:bCs/>
        </w:rPr>
        <w:t>b.</w:t>
      </w:r>
      <w:r>
        <w:tab/>
      </w:r>
      <w:r w:rsidRPr="003019C1">
        <w:rPr>
          <w:b/>
          <w:bCs/>
        </w:rPr>
        <w:t xml:space="preserve">The assault was made with a </w:t>
      </w:r>
      <w:proofErr w:type="gramStart"/>
      <w:r w:rsidRPr="003019C1">
        <w:rPr>
          <w:b/>
          <w:bCs/>
        </w:rPr>
        <w:t>fully-formed</w:t>
      </w:r>
      <w:proofErr w:type="gramEnd"/>
      <w:r w:rsidRPr="003019C1">
        <w:rPr>
          <w:b/>
          <w:bCs/>
        </w:rPr>
        <w:t>, conscious intent to commit</w:t>
      </w:r>
      <w:r w:rsidRPr="00332114">
        <w:t xml:space="preserve"> </w:t>
      </w:r>
      <w:r w:rsidRPr="00D86807">
        <w:t>(felony charged)</w:t>
      </w:r>
      <w:r w:rsidRPr="00332114">
        <w:t xml:space="preserve"> </w:t>
      </w:r>
      <w:r w:rsidRPr="003019C1">
        <w:rPr>
          <w:b/>
          <w:bCs/>
        </w:rPr>
        <w:t>upon</w:t>
      </w:r>
      <w:r w:rsidRPr="00332114">
        <w:t xml:space="preserve"> </w:t>
      </w:r>
      <w:r w:rsidRPr="00D86807">
        <w:t>(victim)</w:t>
      </w:r>
      <w:r w:rsidRPr="003019C1">
        <w:rPr>
          <w:b/>
          <w:bCs/>
        </w:rPr>
        <w:t>.</w:t>
      </w:r>
    </w:p>
    <w:p w14:paraId="61B617A5" w14:textId="77777777" w:rsidR="009E531C" w:rsidRPr="00D86807" w:rsidRDefault="009E531C" w:rsidP="009E531C">
      <w:pPr>
        <w:pStyle w:val="SJITextItalic"/>
      </w:pPr>
      <w:r w:rsidRPr="00D86807">
        <w:t>Give if applicable. McClain v. State, 383 So. 2d 1146 (Fla. 4th DCA 1980); Smithson v. State, 689 So. 2d 1226 (Fla. 5th DCA 1997); Gilbert v. State, 347 So. 2d 1087 (Fla. 3d DCA 1977).</w:t>
      </w:r>
    </w:p>
    <w:p w14:paraId="21B602A3" w14:textId="77777777" w:rsidR="009E531C" w:rsidRPr="00D86807" w:rsidRDefault="009E531C" w:rsidP="009E531C">
      <w:pPr>
        <w:rPr>
          <w:b/>
        </w:rPr>
      </w:pPr>
      <w:r w:rsidRPr="00D86807">
        <w:rPr>
          <w:b/>
        </w:rPr>
        <w:t xml:space="preserve">If the circumstances were such as to ordinarily induce a well-founded fear in the mind of a reasonable person, then </w:t>
      </w:r>
      <w:r w:rsidRPr="00D86807">
        <w:t xml:space="preserve">(victim) </w:t>
      </w:r>
      <w:r w:rsidRPr="00D86807">
        <w:rPr>
          <w:b/>
        </w:rPr>
        <w:t xml:space="preserve">may be found to have been in fear, and actual fear on the part of </w:t>
      </w:r>
      <w:r w:rsidRPr="00D86807">
        <w:t xml:space="preserve">(victim) </w:t>
      </w:r>
      <w:r w:rsidRPr="00D86807">
        <w:rPr>
          <w:b/>
        </w:rPr>
        <w:t xml:space="preserve">need not be shown. </w:t>
      </w:r>
    </w:p>
    <w:p w14:paraId="5E8FFE0E" w14:textId="77777777" w:rsidR="009E531C" w:rsidRPr="00D86807" w:rsidRDefault="009E531C" w:rsidP="009E531C">
      <w:pPr>
        <w:pStyle w:val="SJITextItalic"/>
      </w:pPr>
      <w:r w:rsidRPr="00D86807">
        <w:t>Give if 4a alleged.</w:t>
      </w:r>
    </w:p>
    <w:p w14:paraId="55124CEE" w14:textId="77777777" w:rsidR="009E531C" w:rsidRPr="00D86807" w:rsidRDefault="009E531C" w:rsidP="009E531C">
      <w:pPr>
        <w:tabs>
          <w:tab w:val="left" w:pos="720"/>
        </w:tabs>
        <w:suppressAutoHyphens/>
        <w:rPr>
          <w:b/>
        </w:rPr>
      </w:pPr>
      <w:r w:rsidRPr="00D86807">
        <w:rPr>
          <w:b/>
        </w:rPr>
        <w:t xml:space="preserve">A “deadly weapon” is any object that will likely cause death or great bodily harm if used or threatened to be used in the ordinary and usual manner contemplated by its design and construction. </w:t>
      </w:r>
    </w:p>
    <w:p w14:paraId="3A1E2B3D" w14:textId="77777777" w:rsidR="009E531C" w:rsidRPr="00D86807" w:rsidRDefault="009E531C" w:rsidP="009E531C">
      <w:pPr>
        <w:pStyle w:val="SJITextItalic"/>
      </w:pPr>
      <w:r w:rsidRPr="00D86807">
        <w:t xml:space="preserve">Give if applicable. </w:t>
      </w:r>
    </w:p>
    <w:p w14:paraId="326DA8C4" w14:textId="77777777" w:rsidR="009E531C" w:rsidRPr="00D86807" w:rsidRDefault="009E531C" w:rsidP="009E531C">
      <w:pPr>
        <w:rPr>
          <w:b/>
        </w:rPr>
      </w:pPr>
      <w:r w:rsidRPr="00D86807">
        <w:rPr>
          <w:b/>
        </w:rPr>
        <w:t>An object not designed to inflict bodily harm may nonetheless be a “deadly weapon” if it was used or threatened to be used in a manner likely to cause death or great bodily harm.</w:t>
      </w:r>
    </w:p>
    <w:p w14:paraId="33F0265E" w14:textId="77777777" w:rsidR="009E531C" w:rsidRDefault="009E531C" w:rsidP="009E531C">
      <w:pPr>
        <w:tabs>
          <w:tab w:val="left" w:pos="720"/>
        </w:tabs>
        <w:suppressAutoHyphens/>
        <w:rPr>
          <w:b/>
        </w:rPr>
      </w:pPr>
      <w:r w:rsidRPr="00D86807">
        <w:rPr>
          <w:b/>
        </w:rPr>
        <w:t>“Great bodily harm” means great as distinguished from slight, trivial, minor, or moderate harm, and as such does not include mere bruises.</w:t>
      </w:r>
    </w:p>
    <w:p w14:paraId="1EFCC2B6" w14:textId="77777777" w:rsidR="009E531C" w:rsidRDefault="009E531C" w:rsidP="009E531C">
      <w:pPr>
        <w:pStyle w:val="SJITextItalic"/>
      </w:pPr>
      <w:r w:rsidRPr="00D86807">
        <w:t>Give if 4a alleged.</w:t>
      </w:r>
    </w:p>
    <w:p w14:paraId="61C67C6F" w14:textId="77777777" w:rsidR="009E531C" w:rsidRPr="0020158E" w:rsidRDefault="009E531C" w:rsidP="0020158E">
      <w:pPr>
        <w:rPr>
          <w:b/>
          <w:bCs/>
        </w:rPr>
      </w:pPr>
      <w:r w:rsidRPr="0020158E">
        <w:rPr>
          <w:b/>
          <w:bCs/>
        </w:rPr>
        <w:t>It is not necessary for the State to prove that the defendant had an intent to kill.</w:t>
      </w:r>
    </w:p>
    <w:p w14:paraId="16A090A2" w14:textId="77777777" w:rsidR="009E531C" w:rsidRDefault="009E531C" w:rsidP="009E531C">
      <w:pPr>
        <w:spacing w:after="160"/>
        <w:ind w:firstLine="0"/>
        <w:rPr>
          <w:rFonts w:cs="Courier New"/>
          <w:b/>
        </w:rPr>
      </w:pPr>
      <w:r>
        <w:br w:type="page"/>
      </w:r>
    </w:p>
    <w:p w14:paraId="28D95651" w14:textId="77777777" w:rsidR="009E531C" w:rsidRPr="00D86807" w:rsidRDefault="009E531C" w:rsidP="009E531C">
      <w:pPr>
        <w:pStyle w:val="SJIComments"/>
      </w:pPr>
      <w:r w:rsidRPr="00D86807">
        <w:lastRenderedPageBreak/>
        <w:t>Lesser Included Offenses</w:t>
      </w:r>
    </w:p>
    <w:p w14:paraId="34D1357F" w14:textId="77777777" w:rsidR="009E531C" w:rsidRPr="00D86807" w:rsidRDefault="009E531C" w:rsidP="009E531C">
      <w:pPr>
        <w:pStyle w:val="Heading4"/>
      </w:pPr>
      <w:bookmarkStart w:id="4" w:name="_Toc109650324"/>
      <w:r w:rsidRPr="00D86807">
        <w:t>AGGRAVATED ASSAULT — 784.021</w:t>
      </w:r>
      <w:bookmarkEnd w:id="4"/>
    </w:p>
    <w:tbl>
      <w:tblPr>
        <w:tblStyle w:val="TableGrid1"/>
        <w:tblW w:w="5000" w:type="pct"/>
        <w:tblLook w:val="0020" w:firstRow="1" w:lastRow="0" w:firstColumn="0" w:lastColumn="0" w:noHBand="0" w:noVBand="0"/>
      </w:tblPr>
      <w:tblGrid>
        <w:gridCol w:w="3325"/>
        <w:gridCol w:w="3151"/>
        <w:gridCol w:w="1619"/>
        <w:gridCol w:w="1255"/>
      </w:tblGrid>
      <w:tr w:rsidR="009E531C" w:rsidRPr="00D86807" w14:paraId="300BA32A" w14:textId="77777777" w:rsidTr="00677852">
        <w:trPr>
          <w:cnfStyle w:val="100000000000" w:firstRow="1" w:lastRow="0" w:firstColumn="0" w:lastColumn="0" w:oddVBand="0" w:evenVBand="0" w:oddHBand="0" w:evenHBand="0" w:firstRowFirstColumn="0" w:firstRowLastColumn="0" w:lastRowFirstColumn="0" w:lastRowLastColumn="0"/>
        </w:trPr>
        <w:tc>
          <w:tcPr>
            <w:tcW w:w="1778" w:type="pct"/>
          </w:tcPr>
          <w:p w14:paraId="58FE1B55" w14:textId="77777777" w:rsidR="009E531C" w:rsidRPr="00B620A9" w:rsidRDefault="009E531C" w:rsidP="00B86595">
            <w:pPr>
              <w:pStyle w:val="SJITableText"/>
            </w:pPr>
            <w:r w:rsidRPr="00B620A9">
              <w:t>CATEGORY ONE</w:t>
            </w:r>
          </w:p>
        </w:tc>
        <w:tc>
          <w:tcPr>
            <w:tcW w:w="1685" w:type="pct"/>
          </w:tcPr>
          <w:p w14:paraId="276B6FAF" w14:textId="77777777" w:rsidR="009E531C" w:rsidRPr="00B620A9" w:rsidRDefault="009E531C" w:rsidP="00B86595">
            <w:pPr>
              <w:pStyle w:val="SJITableText"/>
            </w:pPr>
            <w:r w:rsidRPr="00B620A9">
              <w:t>CATEGORY TWO</w:t>
            </w:r>
          </w:p>
        </w:tc>
        <w:tc>
          <w:tcPr>
            <w:tcW w:w="866" w:type="pct"/>
          </w:tcPr>
          <w:p w14:paraId="5FA86450" w14:textId="77777777" w:rsidR="009E531C" w:rsidRPr="00B620A9" w:rsidRDefault="009E531C" w:rsidP="00B86595">
            <w:pPr>
              <w:pStyle w:val="SJITableText"/>
            </w:pPr>
            <w:r w:rsidRPr="00B620A9">
              <w:t>FLA. STAT.</w:t>
            </w:r>
          </w:p>
        </w:tc>
        <w:tc>
          <w:tcPr>
            <w:tcW w:w="671" w:type="pct"/>
          </w:tcPr>
          <w:p w14:paraId="5A1D45CD" w14:textId="77777777" w:rsidR="009E531C" w:rsidRPr="00B620A9" w:rsidRDefault="009E531C" w:rsidP="00B86595">
            <w:pPr>
              <w:pStyle w:val="SJITableText"/>
            </w:pPr>
            <w:r w:rsidRPr="00B620A9">
              <w:t>INS. NO.</w:t>
            </w:r>
          </w:p>
        </w:tc>
      </w:tr>
      <w:tr w:rsidR="009E531C" w:rsidRPr="00D86807" w14:paraId="740D7ABF" w14:textId="77777777" w:rsidTr="00677852">
        <w:tc>
          <w:tcPr>
            <w:tcW w:w="1778" w:type="pct"/>
          </w:tcPr>
          <w:p w14:paraId="32AD02E8" w14:textId="5AF2E465" w:rsidR="009E531C" w:rsidRPr="00D86807" w:rsidRDefault="009E531C" w:rsidP="00677852">
            <w:pPr>
              <w:pStyle w:val="SJITableText"/>
            </w:pPr>
            <w:r w:rsidRPr="00D86807">
              <w:t>Improper exhibition of a dangerous weapon or firearm, if § 784.021(1)(a), Fla. Stat., is charged*</w:t>
            </w:r>
          </w:p>
        </w:tc>
        <w:tc>
          <w:tcPr>
            <w:tcW w:w="1685" w:type="pct"/>
          </w:tcPr>
          <w:p w14:paraId="32554BC2" w14:textId="77777777" w:rsidR="009E531C" w:rsidRPr="00D86807" w:rsidRDefault="009E531C" w:rsidP="00B86595">
            <w:pPr>
              <w:pStyle w:val="SJITableText"/>
            </w:pPr>
          </w:p>
        </w:tc>
        <w:tc>
          <w:tcPr>
            <w:tcW w:w="866" w:type="pct"/>
          </w:tcPr>
          <w:p w14:paraId="0D482447" w14:textId="77777777" w:rsidR="009E531C" w:rsidRPr="00D86807" w:rsidRDefault="009E531C" w:rsidP="00B86595">
            <w:pPr>
              <w:pStyle w:val="SJITableText"/>
            </w:pPr>
            <w:r w:rsidRPr="00D86807">
              <w:t>790.10*</w:t>
            </w:r>
          </w:p>
        </w:tc>
        <w:tc>
          <w:tcPr>
            <w:tcW w:w="671" w:type="pct"/>
          </w:tcPr>
          <w:p w14:paraId="23A46042" w14:textId="77777777" w:rsidR="009E531C" w:rsidRPr="00D86807" w:rsidRDefault="009E531C" w:rsidP="00B86595">
            <w:pPr>
              <w:pStyle w:val="SJITableText"/>
            </w:pPr>
            <w:r w:rsidRPr="00D86807">
              <w:t>10.5*</w:t>
            </w:r>
          </w:p>
        </w:tc>
      </w:tr>
      <w:tr w:rsidR="009E531C" w:rsidRPr="00D86807" w14:paraId="4E90DBAF" w14:textId="77777777" w:rsidTr="00677852">
        <w:tc>
          <w:tcPr>
            <w:tcW w:w="1778" w:type="pct"/>
          </w:tcPr>
          <w:p w14:paraId="442AE91F" w14:textId="77777777" w:rsidR="009E531C" w:rsidRPr="00D86807" w:rsidRDefault="009E531C" w:rsidP="00B86595">
            <w:pPr>
              <w:pStyle w:val="SJITableText"/>
            </w:pPr>
            <w:r w:rsidRPr="00D86807">
              <w:t>Assault</w:t>
            </w:r>
          </w:p>
        </w:tc>
        <w:tc>
          <w:tcPr>
            <w:tcW w:w="1685" w:type="pct"/>
          </w:tcPr>
          <w:p w14:paraId="3D3E2E4B" w14:textId="77777777" w:rsidR="009E531C" w:rsidRPr="00D86807" w:rsidRDefault="009E531C" w:rsidP="00B86595">
            <w:pPr>
              <w:pStyle w:val="SJITableText"/>
            </w:pPr>
          </w:p>
        </w:tc>
        <w:tc>
          <w:tcPr>
            <w:tcW w:w="866" w:type="pct"/>
          </w:tcPr>
          <w:p w14:paraId="1582B988" w14:textId="77777777" w:rsidR="009E531C" w:rsidRPr="00D86807" w:rsidRDefault="009E531C" w:rsidP="00B86595">
            <w:pPr>
              <w:pStyle w:val="SJITableText"/>
            </w:pPr>
            <w:r w:rsidRPr="00D86807">
              <w:t>784.011</w:t>
            </w:r>
          </w:p>
        </w:tc>
        <w:tc>
          <w:tcPr>
            <w:tcW w:w="671" w:type="pct"/>
          </w:tcPr>
          <w:p w14:paraId="5314586B" w14:textId="77777777" w:rsidR="009E531C" w:rsidRPr="00D86807" w:rsidRDefault="009E531C" w:rsidP="00B86595">
            <w:pPr>
              <w:pStyle w:val="SJITableText"/>
            </w:pPr>
            <w:r w:rsidRPr="00D86807">
              <w:t>8.1</w:t>
            </w:r>
          </w:p>
        </w:tc>
      </w:tr>
      <w:tr w:rsidR="009E531C" w:rsidRPr="00D86807" w14:paraId="04F97D49" w14:textId="77777777" w:rsidTr="00677852">
        <w:tc>
          <w:tcPr>
            <w:tcW w:w="1778" w:type="pct"/>
          </w:tcPr>
          <w:p w14:paraId="2648A81C" w14:textId="77777777" w:rsidR="009E531C" w:rsidRPr="00D86807" w:rsidRDefault="009E531C" w:rsidP="00B86595">
            <w:pPr>
              <w:pStyle w:val="SJITableText"/>
            </w:pPr>
          </w:p>
        </w:tc>
        <w:tc>
          <w:tcPr>
            <w:tcW w:w="1685" w:type="pct"/>
          </w:tcPr>
          <w:p w14:paraId="4C66045A" w14:textId="77777777" w:rsidR="009E531C" w:rsidRPr="00D86807" w:rsidRDefault="009E531C" w:rsidP="00B86595">
            <w:pPr>
              <w:pStyle w:val="SJITableText"/>
            </w:pPr>
            <w:r w:rsidRPr="00D86807">
              <w:t>Attempt</w:t>
            </w:r>
          </w:p>
        </w:tc>
        <w:tc>
          <w:tcPr>
            <w:tcW w:w="866" w:type="pct"/>
          </w:tcPr>
          <w:p w14:paraId="00C1C3CC" w14:textId="77777777" w:rsidR="009E531C" w:rsidRPr="00D86807" w:rsidRDefault="009E531C" w:rsidP="00B86595">
            <w:pPr>
              <w:pStyle w:val="SJITableText"/>
            </w:pPr>
            <w:r w:rsidRPr="00D86807">
              <w:t>777.04(1)</w:t>
            </w:r>
          </w:p>
        </w:tc>
        <w:tc>
          <w:tcPr>
            <w:tcW w:w="671" w:type="pct"/>
          </w:tcPr>
          <w:p w14:paraId="24810715" w14:textId="77777777" w:rsidR="009E531C" w:rsidRPr="00D86807" w:rsidRDefault="009E531C" w:rsidP="00B86595">
            <w:pPr>
              <w:pStyle w:val="SJITableText"/>
            </w:pPr>
            <w:r w:rsidRPr="00D86807">
              <w:t>5.1</w:t>
            </w:r>
          </w:p>
        </w:tc>
      </w:tr>
      <w:tr w:rsidR="009E531C" w:rsidRPr="00D86807" w14:paraId="282E08B1" w14:textId="77777777" w:rsidTr="00677852">
        <w:tc>
          <w:tcPr>
            <w:tcW w:w="1778" w:type="pct"/>
          </w:tcPr>
          <w:p w14:paraId="72481187" w14:textId="77777777" w:rsidR="009E531C" w:rsidRPr="00D86807" w:rsidRDefault="009E531C" w:rsidP="00B86595">
            <w:pPr>
              <w:pStyle w:val="SJITableText"/>
            </w:pPr>
          </w:p>
        </w:tc>
        <w:tc>
          <w:tcPr>
            <w:tcW w:w="1685" w:type="pct"/>
          </w:tcPr>
          <w:p w14:paraId="51D54C7C" w14:textId="77777777" w:rsidR="009E531C" w:rsidRPr="00D86807" w:rsidRDefault="009E531C" w:rsidP="00B86595">
            <w:pPr>
              <w:pStyle w:val="SJITableText"/>
            </w:pPr>
            <w:r w:rsidRPr="00D86807">
              <w:t>Discharging a firearm in public</w:t>
            </w:r>
          </w:p>
        </w:tc>
        <w:tc>
          <w:tcPr>
            <w:tcW w:w="866" w:type="pct"/>
          </w:tcPr>
          <w:p w14:paraId="7EE40A95" w14:textId="77777777" w:rsidR="009E531C" w:rsidRPr="00D86807" w:rsidRDefault="009E531C" w:rsidP="00B86595">
            <w:pPr>
              <w:pStyle w:val="SJITableText"/>
            </w:pPr>
            <w:r w:rsidRPr="00D86807">
              <w:t>790.15</w:t>
            </w:r>
          </w:p>
        </w:tc>
        <w:tc>
          <w:tcPr>
            <w:tcW w:w="671" w:type="pct"/>
          </w:tcPr>
          <w:p w14:paraId="0D76F8A8" w14:textId="77777777" w:rsidR="009E531C" w:rsidRPr="00D86807" w:rsidRDefault="009E531C" w:rsidP="00B86595">
            <w:pPr>
              <w:pStyle w:val="SJITableText"/>
            </w:pPr>
            <w:r w:rsidRPr="00D86807">
              <w:t>10.6</w:t>
            </w:r>
          </w:p>
        </w:tc>
      </w:tr>
    </w:tbl>
    <w:p w14:paraId="091048F8" w14:textId="77777777" w:rsidR="009E531C" w:rsidRPr="00D86807" w:rsidRDefault="009E531C" w:rsidP="009E531C">
      <w:pPr>
        <w:pStyle w:val="SJIComments"/>
      </w:pPr>
      <w:r w:rsidRPr="00D86807">
        <w:t>Comments</w:t>
      </w:r>
    </w:p>
    <w:p w14:paraId="50CBFD54" w14:textId="77777777" w:rsidR="009E531C" w:rsidRPr="00D86807" w:rsidRDefault="009E531C" w:rsidP="009E531C">
      <w:pPr>
        <w:tabs>
          <w:tab w:val="left" w:pos="720"/>
        </w:tabs>
        <w:suppressAutoHyphens/>
      </w:pPr>
      <w:r w:rsidRPr="00D86807">
        <w:t xml:space="preserve">*It is not clear whether a charging document that tracks the statute for Aggravated Assault with a Deadly Weapon necessarily charges Improper Exhibition. Contrast </w:t>
      </w:r>
      <w:r w:rsidRPr="00D86807">
        <w:rPr>
          <w:i/>
        </w:rPr>
        <w:t>Christ v. State</w:t>
      </w:r>
      <w:r w:rsidRPr="00D86807">
        <w:t xml:space="preserve">, 104 So. 3d 1262 (Fla. 2d DCA 2013) and </w:t>
      </w:r>
      <w:r w:rsidRPr="00D86807">
        <w:rPr>
          <w:i/>
        </w:rPr>
        <w:t>Michaud v. State</w:t>
      </w:r>
      <w:r w:rsidRPr="00D86807">
        <w:t xml:space="preserve">, 47 So. 3d 374 (Fla. 5th DCA 2010) with </w:t>
      </w:r>
      <w:r w:rsidRPr="00D86807">
        <w:rPr>
          <w:i/>
        </w:rPr>
        <w:t>Mack v. State</w:t>
      </w:r>
      <w:r w:rsidRPr="00D86807">
        <w:t>, 305 So. 2d 264 (Fla. 3d DCA 1974).</w:t>
      </w:r>
    </w:p>
    <w:p w14:paraId="3CC251F0" w14:textId="3CB02B6C" w:rsidR="009E531C" w:rsidRPr="00D86807" w:rsidRDefault="009E531C" w:rsidP="009E531C">
      <w:pPr>
        <w:spacing w:after="280"/>
      </w:pPr>
      <w:r w:rsidRPr="00D86807">
        <w:t xml:space="preserve">Num-chucks, which were originally designed as a farm tool, can be a deadly weapon. </w:t>
      </w:r>
      <w:r w:rsidRPr="00D86807">
        <w:rPr>
          <w:i/>
        </w:rPr>
        <w:t xml:space="preserve">R.V. v. State, </w:t>
      </w:r>
      <w:r w:rsidRPr="00D86807">
        <w:t xml:space="preserve">497 So. 2d 912 (Fla. 5th DCA 1986). Jurors could find that a 7-inch straight-edged razor might be a dangerous weapon. </w:t>
      </w:r>
      <w:r w:rsidRPr="00D86807">
        <w:rPr>
          <w:i/>
        </w:rPr>
        <w:t xml:space="preserve">R.R. v. State, </w:t>
      </w:r>
      <w:r w:rsidRPr="00D86807">
        <w:t>826 So. 2d 465 (Fla. 5th DCA 2002). In trials involving these types of objects, the judge should consider a special instruction informing jurors that an object can be a deadly weapon if its sole modern use is to cause great bodily harm or death.</w:t>
      </w:r>
      <w:r w:rsidRPr="00D86807">
        <w:rPr>
          <w:b/>
        </w:rPr>
        <w:t xml:space="preserve"> </w:t>
      </w:r>
      <w:r w:rsidRPr="00D86807">
        <w:t>A special instruction may also be necessary in cases where the deadly weapon was an animal or a substance or something that is not commonly referred to as an “object.”</w:t>
      </w:r>
    </w:p>
    <w:p w14:paraId="530EF126" w14:textId="4D7EA154" w:rsidR="009435D1" w:rsidRDefault="009E531C">
      <w:r w:rsidRPr="00D86807">
        <w:rPr>
          <w:bCs/>
        </w:rPr>
        <w:t xml:space="preserve">This instruction was approved in 1981 and amended in 2013 [131 So. 3d 755], 2016 [195 So. 3d 356], and </w:t>
      </w:r>
      <w:r>
        <w:rPr>
          <w:bCs/>
        </w:rPr>
        <w:t xml:space="preserve">on </w:t>
      </w:r>
      <w:r w:rsidRPr="00D86807">
        <w:rPr>
          <w:bCs/>
        </w:rPr>
        <w:t>April 3,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70C74192"/>
    <w:multiLevelType w:val="hybridMultilevel"/>
    <w:tmpl w:val="FFFFFFFF"/>
    <w:lvl w:ilvl="0" w:tplc="FE3AAA32">
      <w:start w:val="1"/>
      <w:numFmt w:val="decimal"/>
      <w:lvlText w:val="%1."/>
      <w:lvlJc w:val="left"/>
      <w:pPr>
        <w:ind w:left="1440" w:hanging="360"/>
      </w:pPr>
      <w:rPr>
        <w:rFonts w:cs="Times New Roman" w:hint="default"/>
        <w:b/>
        <w:i w:val="0"/>
        <w:i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176118331">
    <w:abstractNumId w:val="1"/>
  </w:num>
  <w:num w:numId="2" w16cid:durableId="895507000">
    <w:abstractNumId w:val="2"/>
  </w:num>
  <w:num w:numId="3" w16cid:durableId="1576545768">
    <w:abstractNumId w:val="0"/>
  </w:num>
  <w:num w:numId="4" w16cid:durableId="173422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1C"/>
    <w:rsid w:val="00055C32"/>
    <w:rsid w:val="001C1110"/>
    <w:rsid w:val="0020158E"/>
    <w:rsid w:val="00276059"/>
    <w:rsid w:val="003019C1"/>
    <w:rsid w:val="00332114"/>
    <w:rsid w:val="003E05DE"/>
    <w:rsid w:val="00410524"/>
    <w:rsid w:val="00677852"/>
    <w:rsid w:val="006C369E"/>
    <w:rsid w:val="007D1EBA"/>
    <w:rsid w:val="009435D1"/>
    <w:rsid w:val="009E531C"/>
    <w:rsid w:val="00B620A9"/>
    <w:rsid w:val="00B86595"/>
    <w:rsid w:val="00D8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9F9576"/>
  <w14:defaultImageDpi w14:val="0"/>
  <w15:docId w15:val="{72F6B33E-47A7-43A8-81DC-94484BD6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31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9E531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9E531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9E531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9E531C"/>
    <w:pPr>
      <w:outlineLvl w:val="3"/>
    </w:pPr>
  </w:style>
  <w:style w:type="paragraph" w:styleId="Heading5">
    <w:name w:val="heading 5"/>
    <w:basedOn w:val="Normal"/>
    <w:next w:val="Normal"/>
    <w:link w:val="Heading5Char"/>
    <w:uiPriority w:val="9"/>
    <w:qFormat/>
    <w:rsid w:val="009E531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9E531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9E531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9E531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9E531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531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9E531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9E531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9E531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9E531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9E531C"/>
    <w:rPr>
      <w:rFonts w:ascii="Times New Roman" w:hAnsi="Times New Roman" w:cs="Times New Roman"/>
      <w:b/>
      <w:bCs/>
    </w:rPr>
  </w:style>
  <w:style w:type="character" w:customStyle="1" w:styleId="Heading7Char">
    <w:name w:val="Heading 7 Char"/>
    <w:basedOn w:val="DefaultParagraphFont"/>
    <w:link w:val="Heading7"/>
    <w:uiPriority w:val="9"/>
    <w:locked/>
    <w:rsid w:val="009E531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9E531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9E531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9E531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9E531C"/>
    <w:pPr>
      <w:tabs>
        <w:tab w:val="left" w:pos="720"/>
      </w:tabs>
      <w:suppressAutoHyphens/>
      <w:spacing w:after="0"/>
    </w:pPr>
    <w:rPr>
      <w:rFonts w:cs="Times New Roman"/>
      <w:i/>
      <w:iCs/>
      <w:szCs w:val="24"/>
    </w:rPr>
  </w:style>
  <w:style w:type="paragraph" w:customStyle="1" w:styleId="SJITableText">
    <w:name w:val="SJI Table Text"/>
    <w:basedOn w:val="Normal"/>
    <w:qFormat/>
    <w:rsid w:val="009E531C"/>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9E531C"/>
    <w:pPr>
      <w:spacing w:before="220"/>
      <w:ind w:firstLine="0"/>
      <w:jc w:val="center"/>
    </w:pPr>
    <w:rPr>
      <w:rFonts w:cs="Courier New"/>
      <w:b/>
    </w:rPr>
  </w:style>
  <w:style w:type="paragraph" w:styleId="ListParagraph">
    <w:name w:val="List Paragraph"/>
    <w:basedOn w:val="Normal"/>
    <w:uiPriority w:val="34"/>
    <w:qFormat/>
    <w:rsid w:val="009E531C"/>
    <w:pPr>
      <w:ind w:left="720"/>
    </w:pPr>
    <w:rPr>
      <w:rFonts w:cs="Times New Roman"/>
    </w:rPr>
  </w:style>
  <w:style w:type="table" w:customStyle="1" w:styleId="TableGrid1">
    <w:name w:val="Table Grid1"/>
    <w:basedOn w:val="TableNormal"/>
    <w:next w:val="TableGrid"/>
    <w:uiPriority w:val="99"/>
    <w:rsid w:val="009E531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E531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9E531C"/>
    <w:pPr>
      <w:widowControl w:val="0"/>
      <w:autoSpaceDE w:val="0"/>
      <w:autoSpaceDN w:val="0"/>
      <w:adjustRightInd w:val="0"/>
      <w:ind w:left="1296" w:hanging="576"/>
    </w:pPr>
    <w:rPr>
      <w:rFonts w:cs="Times New Roman"/>
    </w:rPr>
  </w:style>
  <w:style w:type="character" w:customStyle="1" w:styleId="SJIBold">
    <w:name w:val="SJI Bold"/>
    <w:uiPriority w:val="1"/>
    <w:qFormat/>
    <w:rsid w:val="009E531C"/>
    <w:rPr>
      <w:b/>
    </w:rPr>
  </w:style>
  <w:style w:type="paragraph" w:customStyle="1" w:styleId="SJIText">
    <w:name w:val="SJI Text"/>
    <w:basedOn w:val="Normal"/>
    <w:next w:val="Normal"/>
    <w:qFormat/>
    <w:rsid w:val="009E531C"/>
    <w:rPr>
      <w:rFonts w:cs="Times New Roman"/>
    </w:rPr>
  </w:style>
  <w:style w:type="paragraph" w:customStyle="1" w:styleId="SJITableTitle">
    <w:name w:val="SJI Table Title"/>
    <w:basedOn w:val="Normal"/>
    <w:qFormat/>
    <w:rsid w:val="009E531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9E531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9E531C"/>
    <w:pPr>
      <w:numPr>
        <w:numId w:val="4"/>
      </w:numPr>
    </w:pPr>
  </w:style>
  <w:style w:type="paragraph" w:customStyle="1" w:styleId="SJITableNotation">
    <w:name w:val="SJI Table Notation"/>
    <w:basedOn w:val="SJITableText"/>
    <w:qFormat/>
    <w:rsid w:val="009E531C"/>
    <w:pPr>
      <w:spacing w:before="120" w:after="240"/>
    </w:pPr>
  </w:style>
  <w:style w:type="character" w:customStyle="1" w:styleId="SJIUnderline">
    <w:name w:val="SJI Underline"/>
    <w:uiPriority w:val="1"/>
    <w:qFormat/>
    <w:rsid w:val="009E531C"/>
    <w:rPr>
      <w:rFonts w:ascii="Times New Roman" w:hAnsi="Times New Roman"/>
      <w:sz w:val="28"/>
      <w:u w:val="single"/>
    </w:rPr>
  </w:style>
  <w:style w:type="paragraph" w:styleId="Caption">
    <w:name w:val="caption"/>
    <w:basedOn w:val="Normal"/>
    <w:next w:val="Normal"/>
    <w:uiPriority w:val="35"/>
    <w:semiHidden/>
    <w:unhideWhenUsed/>
    <w:qFormat/>
    <w:rsid w:val="009E531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9E531C"/>
    <w:pPr>
      <w:jc w:val="center"/>
    </w:pPr>
    <w:rPr>
      <w:rFonts w:cs="Times New Roman"/>
      <w:b/>
      <w:bCs/>
      <w:sz w:val="28"/>
      <w:szCs w:val="28"/>
    </w:rPr>
  </w:style>
  <w:style w:type="character" w:customStyle="1" w:styleId="TitleChar">
    <w:name w:val="Title Char"/>
    <w:basedOn w:val="DefaultParagraphFont"/>
    <w:link w:val="Title"/>
    <w:uiPriority w:val="10"/>
    <w:locked/>
    <w:rsid w:val="009E531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9E531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9E531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9E531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9E531C"/>
    <w:rPr>
      <w:rFonts w:ascii="Bookman Old Style" w:hAnsi="Bookman Old Style" w:cs="Times New Roman"/>
      <w:color w:val="000000"/>
    </w:rPr>
  </w:style>
  <w:style w:type="paragraph" w:styleId="Quote">
    <w:name w:val="Quote"/>
    <w:basedOn w:val="Normal"/>
    <w:next w:val="Normal"/>
    <w:link w:val="QuoteChar"/>
    <w:uiPriority w:val="29"/>
    <w:qFormat/>
    <w:rsid w:val="009E531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9E531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9E531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9E531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9E531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2024-03-28T13:54:00Z</dcterms:created>
  <dcterms:modified xsi:type="dcterms:W3CDTF">2024-03-28T13:59:00Z</dcterms:modified>
</cp:coreProperties>
</file>