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DA3F8" w14:textId="77777777" w:rsidR="00FE613F" w:rsidRPr="00531D9E" w:rsidRDefault="00FE613F" w:rsidP="00FE613F">
      <w:pPr>
        <w:pStyle w:val="Heading3"/>
      </w:pPr>
      <w:bookmarkStart w:id="0" w:name="_Toc109650277"/>
      <w:bookmarkStart w:id="1" w:name="_Toc109807569"/>
      <w:r w:rsidRPr="00531D9E">
        <w:t>6.3(</w:t>
      </w:r>
      <w:r w:rsidRPr="00B72387">
        <w:rPr>
          <w:caps w:val="0"/>
        </w:rPr>
        <w:t>a</w:t>
      </w:r>
      <w:r w:rsidRPr="00531D9E">
        <w:t>) ATTEMPTED FELONY MURDER — INJURY CAUSED BY ANOTHER</w:t>
      </w:r>
      <w:bookmarkEnd w:id="0"/>
      <w:bookmarkEnd w:id="1"/>
    </w:p>
    <w:p w14:paraId="01B84A72" w14:textId="77777777" w:rsidR="00FE613F" w:rsidRDefault="00FE613F" w:rsidP="00FE613F">
      <w:pPr>
        <w:pStyle w:val="SJIStatuteinTitle"/>
      </w:pPr>
      <w:r w:rsidRPr="00283B2B">
        <w:t>§ 782.051(3) Fla. Stat.</w:t>
      </w:r>
    </w:p>
    <w:p w14:paraId="160CB9BA" w14:textId="77777777" w:rsidR="00FE613F" w:rsidRDefault="00FE613F" w:rsidP="00FE613F">
      <w:pPr>
        <w:autoSpaceDE w:val="0"/>
        <w:autoSpaceDN w:val="0"/>
        <w:adjustRightInd w:val="0"/>
      </w:pPr>
      <w:r w:rsidRPr="00283B2B">
        <w:rPr>
          <w:i/>
        </w:rPr>
        <w:t>In the absence of an express concession that the attempted homicide was not excusable or justified, the trial judge must also read Instruction 6.1, Introduction to Attempted Homicide.</w:t>
      </w:r>
    </w:p>
    <w:p w14:paraId="013DE4E6" w14:textId="77777777" w:rsidR="00FE613F" w:rsidRDefault="00FE613F" w:rsidP="00FE613F">
      <w:pPr>
        <w:autoSpaceDE w:val="0"/>
        <w:autoSpaceDN w:val="0"/>
        <w:adjustRightInd w:val="0"/>
        <w:rPr>
          <w:b/>
        </w:rPr>
      </w:pPr>
      <w:r w:rsidRPr="00283B2B">
        <w:rPr>
          <w:i/>
        </w:rPr>
        <w:t xml:space="preserve"> </w:t>
      </w:r>
      <w:r w:rsidRPr="00283B2B">
        <w:rPr>
          <w:b/>
        </w:rPr>
        <w:t>To prove the crime of Attempted Felony Murder, the State must prove the following two elements beyond a reasonable doubt:</w:t>
      </w:r>
    </w:p>
    <w:p w14:paraId="3E830B3F" w14:textId="77777777" w:rsidR="00FE613F" w:rsidRDefault="00FE613F" w:rsidP="00FE613F">
      <w:pPr>
        <w:widowControl w:val="0"/>
        <w:autoSpaceDE w:val="0"/>
        <w:autoSpaceDN w:val="0"/>
        <w:adjustRightInd w:val="0"/>
        <w:ind w:left="1440" w:right="720" w:hanging="720"/>
        <w:rPr>
          <w:b/>
        </w:rPr>
      </w:pPr>
      <w:r w:rsidRPr="00283B2B">
        <w:rPr>
          <w:b/>
        </w:rPr>
        <w:t>1.</w:t>
      </w:r>
      <w:r w:rsidRPr="00283B2B">
        <w:rPr>
          <w:b/>
        </w:rPr>
        <w:tab/>
      </w:r>
      <w:r w:rsidRPr="00283B2B">
        <w:t>(Defendant)</w:t>
      </w:r>
      <w:r w:rsidRPr="00283B2B">
        <w:rPr>
          <w:b/>
        </w:rPr>
        <w:t xml:space="preserve"> [committed] [attempted to commit] a </w:t>
      </w:r>
      <w:r w:rsidRPr="00283B2B">
        <w:t>(crime alleged)</w:t>
      </w:r>
      <w:r w:rsidRPr="00283B2B">
        <w:rPr>
          <w:b/>
        </w:rPr>
        <w:t xml:space="preserve">. </w:t>
      </w:r>
    </w:p>
    <w:p w14:paraId="44533280" w14:textId="77777777" w:rsidR="00FE613F" w:rsidRDefault="00FE613F" w:rsidP="00FE613F">
      <w:pPr>
        <w:autoSpaceDE w:val="0"/>
        <w:autoSpaceDN w:val="0"/>
        <w:adjustRightInd w:val="0"/>
        <w:ind w:left="1440" w:right="720" w:hanging="720"/>
        <w:rPr>
          <w:b/>
        </w:rPr>
      </w:pPr>
      <w:r w:rsidRPr="00283B2B">
        <w:rPr>
          <w:b/>
        </w:rPr>
        <w:t>2.</w:t>
      </w:r>
      <w:r w:rsidRPr="00283B2B">
        <w:rPr>
          <w:b/>
        </w:rPr>
        <w:tab/>
      </w:r>
      <w:r w:rsidRPr="00283B2B">
        <w:t>(Victim)</w:t>
      </w:r>
      <w:r w:rsidRPr="00283B2B">
        <w:rPr>
          <w:b/>
        </w:rPr>
        <w:t xml:space="preserve"> was injured during the [commission] [attempted commission] of an escape from the immediate scene of the (crime alleged) by an individual other than the person(s) [committing] [attempting to commit] [escaping from the immediate scene of] the </w:t>
      </w:r>
      <w:r w:rsidRPr="00283B2B">
        <w:t>(crime alleged)</w:t>
      </w:r>
      <w:r w:rsidRPr="00283B2B">
        <w:rPr>
          <w:b/>
        </w:rPr>
        <w:t>.</w:t>
      </w:r>
    </w:p>
    <w:p w14:paraId="46C529CC" w14:textId="77777777" w:rsidR="00FE613F" w:rsidRDefault="00FE613F" w:rsidP="00FE613F">
      <w:pPr>
        <w:autoSpaceDE w:val="0"/>
        <w:autoSpaceDN w:val="0"/>
        <w:adjustRightInd w:val="0"/>
        <w:rPr>
          <w:b/>
        </w:rPr>
      </w:pPr>
      <w:r w:rsidRPr="00283B2B">
        <w:t xml:space="preserve">(Crime alleged) </w:t>
      </w:r>
      <w:r w:rsidRPr="00283B2B">
        <w:rPr>
          <w:b/>
        </w:rPr>
        <w:t xml:space="preserve">is defined by Florida law as </w:t>
      </w:r>
      <w:r w:rsidRPr="00283B2B">
        <w:t>(define the crime)</w:t>
      </w:r>
      <w:r w:rsidRPr="00283B2B">
        <w:rPr>
          <w:b/>
        </w:rPr>
        <w:t>.</w:t>
      </w:r>
    </w:p>
    <w:p w14:paraId="14E15406" w14:textId="4668D692" w:rsidR="00FE613F" w:rsidRPr="00C84D34" w:rsidRDefault="00033B5C" w:rsidP="00FE613F">
      <w:pPr>
        <w:autoSpaceDE w:val="0"/>
        <w:autoSpaceDN w:val="0"/>
        <w:adjustRightInd w:val="0"/>
        <w:rPr>
          <w:b/>
        </w:rPr>
      </w:pPr>
      <w:r w:rsidRPr="00C84D34">
        <w:rPr>
          <w:b/>
        </w:rPr>
        <w:t xml:space="preserve">To </w:t>
      </w:r>
      <w:r w:rsidR="00FE613F" w:rsidRPr="00C84D34">
        <w:rPr>
          <w:b/>
        </w:rPr>
        <w:t>convict the defendant of Attempted Felony Murder, it is not necessary for the state to prove that the defendant had a premeditated design or intent to kill.</w:t>
      </w:r>
    </w:p>
    <w:p w14:paraId="04630811" w14:textId="77777777" w:rsidR="00E218A3" w:rsidRPr="00C84D34" w:rsidRDefault="00E218A3" w:rsidP="00E218A3">
      <w:pPr>
        <w:autoSpaceDE w:val="0"/>
        <w:autoSpaceDN w:val="0"/>
        <w:adjustRightInd w:val="0"/>
        <w:spacing w:after="0"/>
        <w:rPr>
          <w:i/>
          <w:iCs/>
        </w:rPr>
      </w:pPr>
      <w:r w:rsidRPr="00C84D34">
        <w:rPr>
          <w:i/>
          <w:iCs/>
        </w:rPr>
        <w:t>Give only if applicable.</w:t>
      </w:r>
    </w:p>
    <w:p w14:paraId="663918F7" w14:textId="77777777" w:rsidR="00E218A3" w:rsidRPr="00C84D34" w:rsidRDefault="00E218A3" w:rsidP="00E218A3">
      <w:pPr>
        <w:autoSpaceDE w:val="0"/>
        <w:autoSpaceDN w:val="0"/>
        <w:adjustRightInd w:val="0"/>
        <w:rPr>
          <w:b/>
        </w:rPr>
      </w:pPr>
      <w:r w:rsidRPr="00C84D34">
        <w:rPr>
          <w:b/>
        </w:rPr>
        <w:t xml:space="preserve">An attempt to commit a crime requires an intent to commit the crime and an overt act that goes beyond mere preparation. </w:t>
      </w:r>
    </w:p>
    <w:p w14:paraId="50D9F402" w14:textId="77777777" w:rsidR="00033B5C" w:rsidRPr="00C84D34" w:rsidRDefault="00033B5C" w:rsidP="00033B5C">
      <w:pPr>
        <w:spacing w:after="0"/>
        <w:rPr>
          <w:bCs/>
          <w:i/>
          <w:iCs/>
        </w:rPr>
      </w:pPr>
      <w:r w:rsidRPr="00C84D34">
        <w:rPr>
          <w:bCs/>
          <w:i/>
          <w:iCs/>
        </w:rPr>
        <w:t>Berger v. State, 259 So. 3d 933 (Fla. 5th DCA 2018); State v. Coker, 452 So. 2d 1135 (Fla. 2d DCA 1984).</w:t>
      </w:r>
    </w:p>
    <w:p w14:paraId="5472CF83" w14:textId="77777777" w:rsidR="00033B5C" w:rsidRPr="00C84D34" w:rsidRDefault="00033B5C" w:rsidP="00033B5C">
      <w:pPr>
        <w:rPr>
          <w:b/>
        </w:rPr>
      </w:pPr>
      <w:r w:rsidRPr="00C84D34">
        <w:rPr>
          <w:b/>
        </w:rPr>
        <w:t>The line between mere preparation and an overt act is a question of fact for you to decide. Mere preparation consists of devising or arranging the means or measures necessary to commit the crime. An overt act consists of some movement toward committing the crime after mere preparation. An overt act need not be the last possible act toward completing the crime.</w:t>
      </w:r>
    </w:p>
    <w:p w14:paraId="236126A6" w14:textId="77973B68" w:rsidR="00DD2613" w:rsidRDefault="00FE613F" w:rsidP="00FE613F">
      <w:pPr>
        <w:autoSpaceDE w:val="0"/>
        <w:autoSpaceDN w:val="0"/>
        <w:adjustRightInd w:val="0"/>
        <w:rPr>
          <w:i/>
        </w:rPr>
      </w:pPr>
      <w:r w:rsidRPr="00283B2B">
        <w:rPr>
          <w:i/>
        </w:rPr>
        <w:t>If the underlying felony or attempted felony is charged as a separate count, read instruction 3.12(d) (Legally Interlocking Counts). Failure to do so may result in an impermissible inconsistent verdict. See, e.g., Brown v. State, 959 So. 2d 218 (Fla. 2007).</w:t>
      </w:r>
    </w:p>
    <w:p w14:paraId="7FCF0AC0" w14:textId="77777777" w:rsidR="00DD2613" w:rsidRDefault="00DD2613">
      <w:pPr>
        <w:spacing w:after="160"/>
        <w:ind w:firstLine="0"/>
        <w:rPr>
          <w:i/>
        </w:rPr>
      </w:pPr>
      <w:r>
        <w:rPr>
          <w:i/>
        </w:rPr>
        <w:br w:type="page"/>
      </w:r>
    </w:p>
    <w:p w14:paraId="6114782F" w14:textId="08C34C52" w:rsidR="00FE613F" w:rsidRDefault="00FE613F" w:rsidP="00FE613F">
      <w:pPr>
        <w:pStyle w:val="SJIComments"/>
      </w:pPr>
      <w:r w:rsidRPr="00283B2B">
        <w:lastRenderedPageBreak/>
        <w:t>Lesser Included Offense</w:t>
      </w:r>
    </w:p>
    <w:p w14:paraId="695380A8" w14:textId="77777777" w:rsidR="00FE613F" w:rsidRPr="00283B2B" w:rsidRDefault="00FE613F" w:rsidP="00FE613F">
      <w:pPr>
        <w:pStyle w:val="Heading4"/>
      </w:pPr>
      <w:bookmarkStart w:id="2" w:name="_Toc109650278"/>
      <w:r w:rsidRPr="00283B2B">
        <w:t>6.3(</w:t>
      </w:r>
      <w:r w:rsidRPr="00283B2B">
        <w:rPr>
          <w:caps w:val="0"/>
        </w:rPr>
        <w:t>a</w:t>
      </w:r>
      <w:r w:rsidRPr="00283B2B">
        <w:t xml:space="preserve">) ATTEMPTED FELONY MURDER – INJURY CAUSED BY ANOTHER — </w:t>
      </w:r>
      <w:r>
        <w:br/>
      </w:r>
      <w:r w:rsidRPr="00283B2B">
        <w:t>§ 782.051(3)</w:t>
      </w:r>
      <w:bookmarkEnd w:id="2"/>
      <w:r w:rsidRPr="00283B2B">
        <w:t xml:space="preserve"> </w:t>
      </w:r>
    </w:p>
    <w:tbl>
      <w:tblPr>
        <w:tblStyle w:val="TableGrid1"/>
        <w:tblW w:w="0" w:type="auto"/>
        <w:tblLook w:val="04A0" w:firstRow="1" w:lastRow="0" w:firstColumn="1" w:lastColumn="0" w:noHBand="0" w:noVBand="1"/>
      </w:tblPr>
      <w:tblGrid>
        <w:gridCol w:w="2661"/>
        <w:gridCol w:w="3080"/>
        <w:gridCol w:w="1760"/>
        <w:gridCol w:w="1849"/>
      </w:tblGrid>
      <w:tr w:rsidR="00FE613F" w:rsidRPr="00283B2B" w14:paraId="246D42B4" w14:textId="77777777" w:rsidTr="00385472">
        <w:trPr>
          <w:cnfStyle w:val="100000000000" w:firstRow="1" w:lastRow="0" w:firstColumn="0" w:lastColumn="0" w:oddVBand="0" w:evenVBand="0" w:oddHBand="0" w:evenHBand="0" w:firstRowFirstColumn="0" w:firstRowLastColumn="0" w:lastRowFirstColumn="0" w:lastRowLastColumn="0"/>
        </w:trPr>
        <w:tc>
          <w:tcPr>
            <w:tcW w:w="2718" w:type="dxa"/>
          </w:tcPr>
          <w:p w14:paraId="437BA837" w14:textId="77777777" w:rsidR="00FE613F" w:rsidRPr="003841AB" w:rsidRDefault="00FE613F" w:rsidP="00385472">
            <w:pPr>
              <w:pStyle w:val="SJITableText"/>
            </w:pPr>
            <w:r w:rsidRPr="003841AB">
              <w:t>CATEGORY ONE</w:t>
            </w:r>
          </w:p>
        </w:tc>
        <w:tc>
          <w:tcPr>
            <w:tcW w:w="3150" w:type="dxa"/>
          </w:tcPr>
          <w:p w14:paraId="79F11121" w14:textId="77777777" w:rsidR="00FE613F" w:rsidRPr="003841AB" w:rsidRDefault="00FE613F" w:rsidP="00385472">
            <w:pPr>
              <w:pStyle w:val="SJITableText"/>
            </w:pPr>
            <w:r w:rsidRPr="003841AB">
              <w:t>CATEGORY TWO</w:t>
            </w:r>
          </w:p>
        </w:tc>
        <w:tc>
          <w:tcPr>
            <w:tcW w:w="1800" w:type="dxa"/>
          </w:tcPr>
          <w:p w14:paraId="302B264F" w14:textId="77777777" w:rsidR="00FE613F" w:rsidRPr="003841AB" w:rsidRDefault="00FE613F" w:rsidP="00385472">
            <w:pPr>
              <w:pStyle w:val="SJITableText"/>
            </w:pPr>
            <w:r w:rsidRPr="003841AB">
              <w:t>FLA. STAT.</w:t>
            </w:r>
          </w:p>
        </w:tc>
        <w:tc>
          <w:tcPr>
            <w:tcW w:w="1908" w:type="dxa"/>
          </w:tcPr>
          <w:p w14:paraId="02698057" w14:textId="77777777" w:rsidR="00FE613F" w:rsidRPr="003841AB" w:rsidRDefault="00FE613F" w:rsidP="00385472">
            <w:pPr>
              <w:pStyle w:val="SJITableText"/>
            </w:pPr>
            <w:r w:rsidRPr="003841AB">
              <w:t>INS. NO.</w:t>
            </w:r>
          </w:p>
        </w:tc>
      </w:tr>
      <w:tr w:rsidR="00FE613F" w:rsidRPr="00283B2B" w14:paraId="5318B5AD" w14:textId="77777777" w:rsidTr="00385472">
        <w:tc>
          <w:tcPr>
            <w:tcW w:w="2718" w:type="dxa"/>
          </w:tcPr>
          <w:p w14:paraId="0EA4B69B" w14:textId="77777777" w:rsidR="00FE613F" w:rsidRPr="00283B2B" w:rsidRDefault="00FE613F" w:rsidP="00385472">
            <w:pPr>
              <w:pStyle w:val="SJITableText"/>
            </w:pPr>
            <w:r w:rsidRPr="00283B2B">
              <w:t>None</w:t>
            </w:r>
          </w:p>
        </w:tc>
        <w:tc>
          <w:tcPr>
            <w:tcW w:w="3150" w:type="dxa"/>
          </w:tcPr>
          <w:p w14:paraId="5FFE202A" w14:textId="77777777" w:rsidR="00FE613F" w:rsidRPr="00283B2B" w:rsidRDefault="00FE613F" w:rsidP="00385472">
            <w:pPr>
              <w:pStyle w:val="SJITableText"/>
            </w:pPr>
          </w:p>
        </w:tc>
        <w:tc>
          <w:tcPr>
            <w:tcW w:w="1800" w:type="dxa"/>
          </w:tcPr>
          <w:p w14:paraId="3324CC84" w14:textId="77777777" w:rsidR="00FE613F" w:rsidRPr="00283B2B" w:rsidRDefault="00FE613F" w:rsidP="00385472">
            <w:pPr>
              <w:pStyle w:val="SJITableText"/>
            </w:pPr>
          </w:p>
        </w:tc>
        <w:tc>
          <w:tcPr>
            <w:tcW w:w="1908" w:type="dxa"/>
          </w:tcPr>
          <w:p w14:paraId="25C6B4F4" w14:textId="77777777" w:rsidR="00FE613F" w:rsidRPr="00283B2B" w:rsidRDefault="00FE613F" w:rsidP="00385472">
            <w:pPr>
              <w:pStyle w:val="SJITableText"/>
            </w:pPr>
          </w:p>
        </w:tc>
      </w:tr>
      <w:tr w:rsidR="00FE613F" w:rsidRPr="00283B2B" w14:paraId="55E3C2A0" w14:textId="77777777" w:rsidTr="00385472">
        <w:tc>
          <w:tcPr>
            <w:tcW w:w="2718" w:type="dxa"/>
          </w:tcPr>
          <w:p w14:paraId="75FEA129" w14:textId="77777777" w:rsidR="00FE613F" w:rsidRPr="00283B2B" w:rsidRDefault="00FE613F" w:rsidP="00385472">
            <w:pPr>
              <w:pStyle w:val="SJITableText"/>
            </w:pPr>
          </w:p>
        </w:tc>
        <w:tc>
          <w:tcPr>
            <w:tcW w:w="3150" w:type="dxa"/>
          </w:tcPr>
          <w:p w14:paraId="447990A3" w14:textId="77777777" w:rsidR="00FE613F" w:rsidRPr="00283B2B" w:rsidRDefault="00FE613F" w:rsidP="00385472">
            <w:pPr>
              <w:pStyle w:val="SJITableText"/>
            </w:pPr>
            <w:r w:rsidRPr="00283B2B">
              <w:t>Attempted Manslaughter by Act</w:t>
            </w:r>
          </w:p>
        </w:tc>
        <w:tc>
          <w:tcPr>
            <w:tcW w:w="1800" w:type="dxa"/>
          </w:tcPr>
          <w:p w14:paraId="06AEA90A" w14:textId="77777777" w:rsidR="00FE613F" w:rsidRPr="00283B2B" w:rsidRDefault="00FE613F" w:rsidP="00385472">
            <w:pPr>
              <w:pStyle w:val="SJITableText"/>
            </w:pPr>
            <w:r w:rsidRPr="00283B2B">
              <w:t>782.07 &amp; 777.04</w:t>
            </w:r>
          </w:p>
        </w:tc>
        <w:tc>
          <w:tcPr>
            <w:tcW w:w="1908" w:type="dxa"/>
          </w:tcPr>
          <w:p w14:paraId="7597A6B7" w14:textId="77777777" w:rsidR="00FE613F" w:rsidRPr="00283B2B" w:rsidRDefault="00FE613F" w:rsidP="00385472">
            <w:pPr>
              <w:pStyle w:val="SJITableText"/>
            </w:pPr>
            <w:r w:rsidRPr="00283B2B">
              <w:t>6.6</w:t>
            </w:r>
          </w:p>
        </w:tc>
      </w:tr>
    </w:tbl>
    <w:p w14:paraId="1DAE4F9D" w14:textId="77777777" w:rsidR="00FE613F" w:rsidRDefault="00FE613F" w:rsidP="00DD2613">
      <w:pPr>
        <w:pStyle w:val="SJIComments"/>
      </w:pPr>
      <w:r w:rsidRPr="00DD2613">
        <w:t>Comments</w:t>
      </w:r>
    </w:p>
    <w:p w14:paraId="43310B8F" w14:textId="77777777" w:rsidR="00FE613F" w:rsidRPr="0019169A" w:rsidRDefault="00FE613F" w:rsidP="00FE613F">
      <w:pPr>
        <w:pStyle w:val="SJIText"/>
      </w:pPr>
      <w:r w:rsidRPr="0019169A">
        <w:t>§ 782.051(3), Fla. Stat., applies only where the defendant was committing or attempting to commit a felony enumerated in § 782.04(3), Fla. Stat.</w:t>
      </w:r>
    </w:p>
    <w:p w14:paraId="4B953867" w14:textId="31E2E1D8" w:rsidR="00FE613F" w:rsidRDefault="00FE613F" w:rsidP="00FE613F">
      <w:pPr>
        <w:pStyle w:val="SJIText"/>
      </w:pPr>
      <w:r w:rsidRPr="0019169A">
        <w:t xml:space="preserve">A charging document that tracks the language of the Attempted First-Degree Premeditated Murder statute does not charge Attempted Felony Murder. </w:t>
      </w:r>
      <w:r w:rsidRPr="0019169A">
        <w:rPr>
          <w:i/>
        </w:rPr>
        <w:t>See Weatherspoon v. State</w:t>
      </w:r>
      <w:r w:rsidRPr="0019169A">
        <w:t>, 214 So</w:t>
      </w:r>
      <w:r w:rsidR="00E218A3">
        <w:t xml:space="preserve">. </w:t>
      </w:r>
      <w:r w:rsidRPr="0019169A">
        <w:t>3d 578 (Fla. 2017).</w:t>
      </w:r>
    </w:p>
    <w:p w14:paraId="36A19DE3" w14:textId="42600712" w:rsidR="009435D1" w:rsidRDefault="00E72320">
      <w:r w:rsidRPr="00E72320">
        <w:t>This instruction was adopted in 2007</w:t>
      </w:r>
      <w:r>
        <w:t xml:space="preserve"> [962 So. 2d 310]</w:t>
      </w:r>
      <w:r w:rsidRPr="00E72320">
        <w:t xml:space="preserve"> and amended in 2014</w:t>
      </w:r>
      <w:r>
        <w:t xml:space="preserve"> [137 So. 3d 995]</w:t>
      </w:r>
      <w:r w:rsidRPr="00E72320">
        <w:t>, 2018</w:t>
      </w:r>
      <w:r>
        <w:t xml:space="preserve"> </w:t>
      </w:r>
      <w:r w:rsidRPr="00E60FE0">
        <w:t xml:space="preserve">[236 So. 3d 282], and on </w:t>
      </w:r>
      <w:r w:rsidR="00E60FE0" w:rsidRPr="00E60FE0">
        <w:t xml:space="preserve">December 15, </w:t>
      </w:r>
      <w:r w:rsidR="00844C75">
        <w:t>2</w:t>
      </w:r>
      <w:r w:rsidR="00E60FE0" w:rsidRPr="00E60FE0">
        <w:t>023.</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701711442">
    <w:abstractNumId w:val="1"/>
  </w:num>
  <w:num w:numId="2" w16cid:durableId="971012862">
    <w:abstractNumId w:val="0"/>
  </w:num>
  <w:num w:numId="3" w16cid:durableId="106209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3F"/>
    <w:rsid w:val="00033B5C"/>
    <w:rsid w:val="0019169A"/>
    <w:rsid w:val="00276059"/>
    <w:rsid w:val="00283B2B"/>
    <w:rsid w:val="003841AB"/>
    <w:rsid w:val="00385472"/>
    <w:rsid w:val="003E05DE"/>
    <w:rsid w:val="00531D9E"/>
    <w:rsid w:val="007D1EBA"/>
    <w:rsid w:val="00844C75"/>
    <w:rsid w:val="009435D1"/>
    <w:rsid w:val="00B72387"/>
    <w:rsid w:val="00C80407"/>
    <w:rsid w:val="00C84D34"/>
    <w:rsid w:val="00DD2613"/>
    <w:rsid w:val="00E218A3"/>
    <w:rsid w:val="00E60FE0"/>
    <w:rsid w:val="00E72320"/>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7469D"/>
  <w14:defaultImageDpi w14:val="0"/>
  <w15:docId w15:val="{F6BE64A8-5CA6-4F8C-96CD-AE12732D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13F"/>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E613F"/>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E613F"/>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E613F"/>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E613F"/>
    <w:pPr>
      <w:outlineLvl w:val="3"/>
    </w:pPr>
  </w:style>
  <w:style w:type="paragraph" w:styleId="Heading5">
    <w:name w:val="heading 5"/>
    <w:basedOn w:val="Normal"/>
    <w:next w:val="Normal"/>
    <w:link w:val="Heading5Char"/>
    <w:uiPriority w:val="9"/>
    <w:qFormat/>
    <w:rsid w:val="00FE613F"/>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E613F"/>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E613F"/>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E613F"/>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E613F"/>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E613F"/>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E613F"/>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E613F"/>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E613F"/>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E613F"/>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E613F"/>
    <w:rPr>
      <w:rFonts w:ascii="Times New Roman" w:hAnsi="Times New Roman" w:cs="Times New Roman"/>
      <w:b/>
      <w:bCs/>
    </w:rPr>
  </w:style>
  <w:style w:type="character" w:customStyle="1" w:styleId="Heading7Char">
    <w:name w:val="Heading 7 Char"/>
    <w:basedOn w:val="DefaultParagraphFont"/>
    <w:link w:val="Heading7"/>
    <w:uiPriority w:val="9"/>
    <w:locked/>
    <w:rsid w:val="00FE613F"/>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E613F"/>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E613F"/>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FE613F"/>
    <w:rPr>
      <w:rFonts w:cs="Times New Roman"/>
    </w:rPr>
  </w:style>
  <w:style w:type="paragraph" w:customStyle="1" w:styleId="SJIStatuteinTitle">
    <w:name w:val="SJI Statute in Title"/>
    <w:basedOn w:val="Normal"/>
    <w:qFormat/>
    <w:rsid w:val="00FE613F"/>
    <w:pPr>
      <w:spacing w:after="240" w:line="240" w:lineRule="auto"/>
      <w:ind w:firstLine="0"/>
      <w:jc w:val="center"/>
    </w:pPr>
    <w:rPr>
      <w:rFonts w:cs="Times New Roman"/>
      <w:sz w:val="24"/>
      <w:szCs w:val="24"/>
    </w:rPr>
  </w:style>
  <w:style w:type="paragraph" w:customStyle="1" w:styleId="SJITableText">
    <w:name w:val="SJI Table Text"/>
    <w:basedOn w:val="Normal"/>
    <w:qFormat/>
    <w:rsid w:val="00FE613F"/>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FE613F"/>
    <w:pPr>
      <w:spacing w:before="220"/>
      <w:ind w:firstLine="0"/>
      <w:jc w:val="center"/>
    </w:pPr>
    <w:rPr>
      <w:rFonts w:cs="Courier New"/>
      <w:b/>
    </w:rPr>
  </w:style>
  <w:style w:type="table" w:customStyle="1" w:styleId="TableGrid1">
    <w:name w:val="Table Grid1"/>
    <w:basedOn w:val="TableNormal"/>
    <w:next w:val="TableGrid"/>
    <w:uiPriority w:val="99"/>
    <w:rsid w:val="00FE613F"/>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FE613F"/>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FE613F"/>
    <w:pPr>
      <w:widowControl w:val="0"/>
      <w:autoSpaceDE w:val="0"/>
      <w:autoSpaceDN w:val="0"/>
      <w:adjustRightInd w:val="0"/>
      <w:ind w:left="1296" w:hanging="576"/>
    </w:pPr>
    <w:rPr>
      <w:rFonts w:cs="Times New Roman"/>
    </w:rPr>
  </w:style>
  <w:style w:type="character" w:customStyle="1" w:styleId="SJIBold">
    <w:name w:val="SJI Bold"/>
    <w:uiPriority w:val="1"/>
    <w:qFormat/>
    <w:rsid w:val="00FE613F"/>
    <w:rPr>
      <w:b/>
    </w:rPr>
  </w:style>
  <w:style w:type="paragraph" w:customStyle="1" w:styleId="SJITextItalic">
    <w:name w:val="SJI Text Italic"/>
    <w:basedOn w:val="Normal"/>
    <w:qFormat/>
    <w:locked/>
    <w:rsid w:val="00FE613F"/>
    <w:pPr>
      <w:tabs>
        <w:tab w:val="left" w:pos="720"/>
      </w:tabs>
      <w:suppressAutoHyphens/>
      <w:spacing w:after="0"/>
    </w:pPr>
    <w:rPr>
      <w:rFonts w:cs="Times New Roman"/>
      <w:i/>
      <w:iCs/>
      <w:szCs w:val="24"/>
    </w:rPr>
  </w:style>
  <w:style w:type="paragraph" w:customStyle="1" w:styleId="SJITableTitle">
    <w:name w:val="SJI Table Title"/>
    <w:basedOn w:val="Normal"/>
    <w:qFormat/>
    <w:rsid w:val="00FE613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E613F"/>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E613F"/>
    <w:pPr>
      <w:numPr>
        <w:numId w:val="3"/>
      </w:numPr>
    </w:pPr>
    <w:rPr>
      <w:rFonts w:cs="Times New Roman"/>
    </w:rPr>
  </w:style>
  <w:style w:type="paragraph" w:styleId="ListParagraph">
    <w:name w:val="List Paragraph"/>
    <w:basedOn w:val="Normal"/>
    <w:uiPriority w:val="34"/>
    <w:qFormat/>
    <w:rsid w:val="00FE613F"/>
    <w:pPr>
      <w:ind w:left="720"/>
    </w:pPr>
  </w:style>
  <w:style w:type="paragraph" w:customStyle="1" w:styleId="SJITableNotation">
    <w:name w:val="SJI Table Notation"/>
    <w:basedOn w:val="SJITableText"/>
    <w:qFormat/>
    <w:rsid w:val="00FE613F"/>
    <w:pPr>
      <w:spacing w:before="120" w:after="240"/>
    </w:pPr>
  </w:style>
  <w:style w:type="character" w:customStyle="1" w:styleId="SJIUnderline">
    <w:name w:val="SJI Underline"/>
    <w:uiPriority w:val="1"/>
    <w:qFormat/>
    <w:rsid w:val="00FE613F"/>
    <w:rPr>
      <w:rFonts w:ascii="Times New Roman" w:hAnsi="Times New Roman"/>
      <w:sz w:val="28"/>
      <w:u w:val="single"/>
    </w:rPr>
  </w:style>
  <w:style w:type="paragraph" w:styleId="Caption">
    <w:name w:val="caption"/>
    <w:basedOn w:val="Normal"/>
    <w:next w:val="Normal"/>
    <w:uiPriority w:val="35"/>
    <w:semiHidden/>
    <w:unhideWhenUsed/>
    <w:qFormat/>
    <w:rsid w:val="00FE613F"/>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E613F"/>
    <w:pPr>
      <w:jc w:val="center"/>
    </w:pPr>
    <w:rPr>
      <w:rFonts w:cs="Times New Roman"/>
      <w:b/>
      <w:bCs/>
      <w:sz w:val="28"/>
      <w:szCs w:val="28"/>
    </w:rPr>
  </w:style>
  <w:style w:type="character" w:customStyle="1" w:styleId="TitleChar">
    <w:name w:val="Title Char"/>
    <w:basedOn w:val="DefaultParagraphFont"/>
    <w:link w:val="Title"/>
    <w:uiPriority w:val="10"/>
    <w:locked/>
    <w:rsid w:val="00FE613F"/>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E613F"/>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E613F"/>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E613F"/>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E613F"/>
    <w:rPr>
      <w:rFonts w:ascii="Bookman Old Style" w:hAnsi="Bookman Old Style" w:cs="Times New Roman"/>
      <w:color w:val="000000"/>
    </w:rPr>
  </w:style>
  <w:style w:type="paragraph" w:styleId="Quote">
    <w:name w:val="Quote"/>
    <w:basedOn w:val="Normal"/>
    <w:next w:val="Normal"/>
    <w:link w:val="QuoteChar"/>
    <w:uiPriority w:val="29"/>
    <w:qFormat/>
    <w:rsid w:val="00FE613F"/>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E613F"/>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E613F"/>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E613F"/>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E613F"/>
    <w:pPr>
      <w:outlineLvl w:val="9"/>
    </w:pPr>
    <w:rPr>
      <w:b w:val="0"/>
      <w:caps w:val="0"/>
      <w:sz w:val="32"/>
    </w:rPr>
  </w:style>
  <w:style w:type="numbering" w:customStyle="1" w:styleId="NumberandSubs">
    <w:name w:val="Number and Subs"/>
    <w:pPr>
      <w:numPr>
        <w:numId w:val="1"/>
      </w:numPr>
    </w:pPr>
  </w:style>
  <w:style w:type="character" w:styleId="Hyperlink">
    <w:name w:val="Hyperlink"/>
    <w:basedOn w:val="DefaultParagraphFont"/>
    <w:uiPriority w:val="99"/>
    <w:unhideWhenUsed/>
    <w:rsid w:val="00E72320"/>
    <w:rPr>
      <w:color w:val="0563C1" w:themeColor="hyperlink"/>
      <w:u w:val="single"/>
    </w:rPr>
  </w:style>
  <w:style w:type="character" w:styleId="UnresolvedMention">
    <w:name w:val="Unresolved Mention"/>
    <w:basedOn w:val="DefaultParagraphFont"/>
    <w:uiPriority w:val="99"/>
    <w:semiHidden/>
    <w:unhideWhenUsed/>
    <w:rsid w:val="00E72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2117</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Susan</cp:lastModifiedBy>
  <cp:revision>5</cp:revision>
  <dcterms:created xsi:type="dcterms:W3CDTF">2023-12-16T00:07:00Z</dcterms:created>
  <dcterms:modified xsi:type="dcterms:W3CDTF">2023-12-18T14:16:00Z</dcterms:modified>
</cp:coreProperties>
</file>