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5E5B2" w14:textId="77A5E89B" w:rsidR="001B6C13" w:rsidRPr="00CD456B" w:rsidRDefault="001B6C13" w:rsidP="001B6C13">
      <w:pPr>
        <w:pStyle w:val="Heading3"/>
        <w:rPr>
          <w:u w:val="single"/>
        </w:rPr>
      </w:pPr>
      <w:bookmarkStart w:id="0" w:name="_Toc109650273"/>
      <w:bookmarkStart w:id="1" w:name="_Toc109807567"/>
      <w:r w:rsidRPr="0038390A">
        <w:t>6.2 ATTEMPTED</w:t>
      </w:r>
      <w:r w:rsidR="00F60B9A">
        <w:t xml:space="preserve"> </w:t>
      </w:r>
      <w:r w:rsidRPr="0038390A">
        <w:t xml:space="preserve">FIRST DEGREE </w:t>
      </w:r>
      <w:r w:rsidRPr="00CD456B">
        <w:t>PREMEDITATED</w:t>
      </w:r>
      <w:bookmarkEnd w:id="0"/>
      <w:bookmarkEnd w:id="1"/>
      <w:r w:rsidR="00CD456B" w:rsidRPr="001F54A1">
        <w:t xml:space="preserve"> </w:t>
      </w:r>
      <w:r w:rsidR="00CD456B" w:rsidRPr="00F60B9A">
        <w:t>MURDER</w:t>
      </w:r>
    </w:p>
    <w:p w14:paraId="1D0991F7" w14:textId="77777777" w:rsidR="001B6C13" w:rsidRPr="00D54B72" w:rsidRDefault="001B6C13" w:rsidP="001B6C13">
      <w:pPr>
        <w:pStyle w:val="SJIStatuteinTitle"/>
      </w:pPr>
      <w:r w:rsidRPr="00D54B72">
        <w:t>§§ 782.04(1)(a) and 777.04, Fla. Stat.</w:t>
      </w:r>
    </w:p>
    <w:p w14:paraId="13318255" w14:textId="77777777" w:rsidR="001B6C13" w:rsidRPr="00D54B72" w:rsidRDefault="001B6C13" w:rsidP="001B6C13">
      <w:pPr>
        <w:tabs>
          <w:tab w:val="left" w:pos="720"/>
        </w:tabs>
        <w:suppressAutoHyphens/>
        <w:rPr>
          <w:iCs/>
        </w:rPr>
      </w:pPr>
      <w:r w:rsidRPr="00D54B72">
        <w:rPr>
          <w:i/>
          <w:iCs/>
        </w:rPr>
        <w:t>In the absence of an express concession that the attempted homicide was not excusable or justified, the trial judge must also read Instruction 6.1, Introduction to Attempted Homicide.</w:t>
      </w:r>
    </w:p>
    <w:p w14:paraId="6D61A2EF" w14:textId="7AA1DB3D" w:rsidR="001B6C13" w:rsidRPr="00F60B9A" w:rsidRDefault="001B6C13" w:rsidP="001B6C13">
      <w:pPr>
        <w:autoSpaceDE w:val="0"/>
        <w:autoSpaceDN w:val="0"/>
        <w:adjustRightInd w:val="0"/>
        <w:rPr>
          <w:b/>
        </w:rPr>
      </w:pPr>
      <w:r w:rsidRPr="00F60B9A">
        <w:rPr>
          <w:b/>
        </w:rPr>
        <w:t>To prove the crime of Attempted First Degree Premeditated Murder, the State must prove the following three</w:t>
      </w:r>
      <w:r w:rsidR="001F54A1" w:rsidRPr="00F60B9A">
        <w:rPr>
          <w:b/>
        </w:rPr>
        <w:t xml:space="preserve"> </w:t>
      </w:r>
      <w:r w:rsidRPr="00F60B9A">
        <w:rPr>
          <w:b/>
        </w:rPr>
        <w:t>elements beyond a reasonable doubt:</w:t>
      </w:r>
    </w:p>
    <w:p w14:paraId="55B4A388" w14:textId="68E25285" w:rsidR="001B6C13" w:rsidRPr="00F60B9A" w:rsidRDefault="001B6C13" w:rsidP="001B6C13">
      <w:pPr>
        <w:widowControl w:val="0"/>
        <w:autoSpaceDE w:val="0"/>
        <w:autoSpaceDN w:val="0"/>
        <w:adjustRightInd w:val="0"/>
        <w:ind w:left="1440" w:right="720" w:hanging="720"/>
        <w:rPr>
          <w:b/>
        </w:rPr>
      </w:pPr>
      <w:r w:rsidRPr="00F60B9A">
        <w:rPr>
          <w:b/>
        </w:rPr>
        <w:t>1.</w:t>
      </w:r>
      <w:r w:rsidRPr="00F60B9A">
        <w:rPr>
          <w:b/>
        </w:rPr>
        <w:tab/>
      </w:r>
      <w:r w:rsidRPr="00F60B9A">
        <w:t>(Defendant)</w:t>
      </w:r>
      <w:r w:rsidRPr="00F60B9A">
        <w:rPr>
          <w:b/>
        </w:rPr>
        <w:t xml:space="preserve"> </w:t>
      </w:r>
      <w:r w:rsidR="001714AD" w:rsidRPr="00F60B9A">
        <w:rPr>
          <w:b/>
        </w:rPr>
        <w:t>intended to commit the crime of First Degree Premeditated Murder</w:t>
      </w:r>
      <w:r w:rsidRPr="00F60B9A">
        <w:rPr>
          <w:b/>
        </w:rPr>
        <w:t>.</w:t>
      </w:r>
    </w:p>
    <w:p w14:paraId="37D59BD5" w14:textId="4D849467" w:rsidR="00CD456B" w:rsidRPr="00F60B9A" w:rsidRDefault="001B6C13" w:rsidP="00CD456B">
      <w:pPr>
        <w:widowControl w:val="0"/>
        <w:autoSpaceDE w:val="0"/>
        <w:autoSpaceDN w:val="0"/>
        <w:adjustRightInd w:val="0"/>
        <w:ind w:left="1440" w:right="720" w:hanging="720"/>
        <w:rPr>
          <w:b/>
        </w:rPr>
      </w:pPr>
      <w:r w:rsidRPr="00F60B9A">
        <w:rPr>
          <w:b/>
        </w:rPr>
        <w:t>2.</w:t>
      </w:r>
      <w:r w:rsidRPr="00F60B9A">
        <w:rPr>
          <w:b/>
        </w:rPr>
        <w:tab/>
      </w:r>
      <w:r w:rsidRPr="00F60B9A">
        <w:t>(Defendant)</w:t>
      </w:r>
      <w:r w:rsidRPr="00F60B9A">
        <w:rPr>
          <w:b/>
        </w:rPr>
        <w:t xml:space="preserve"> </w:t>
      </w:r>
      <w:r w:rsidR="00194815" w:rsidRPr="00F60B9A">
        <w:rPr>
          <w:b/>
        </w:rPr>
        <w:t>committed an overt act</w:t>
      </w:r>
      <w:r w:rsidR="001714AD" w:rsidRPr="00F60B9A">
        <w:rPr>
          <w:b/>
        </w:rPr>
        <w:t xml:space="preserve"> toward </w:t>
      </w:r>
      <w:r w:rsidR="00194815" w:rsidRPr="00F60B9A">
        <w:rPr>
          <w:b/>
        </w:rPr>
        <w:t xml:space="preserve">the commission of </w:t>
      </w:r>
      <w:r w:rsidR="001714AD" w:rsidRPr="00F60B9A">
        <w:rPr>
          <w:b/>
        </w:rPr>
        <w:t xml:space="preserve">First Degree Premeditated Murder that went beyond </w:t>
      </w:r>
      <w:r w:rsidR="00194815" w:rsidRPr="00F60B9A">
        <w:rPr>
          <w:b/>
        </w:rPr>
        <w:t>mere preparation.</w:t>
      </w:r>
    </w:p>
    <w:p w14:paraId="1F8DFA1A" w14:textId="6C6FCCB1" w:rsidR="001F54A1" w:rsidRPr="00F60B9A" w:rsidRDefault="001B6C13" w:rsidP="001F54A1">
      <w:pPr>
        <w:widowControl w:val="0"/>
        <w:autoSpaceDE w:val="0"/>
        <w:autoSpaceDN w:val="0"/>
        <w:adjustRightInd w:val="0"/>
        <w:ind w:left="1440" w:right="720" w:hanging="720"/>
        <w:rPr>
          <w:b/>
        </w:rPr>
      </w:pPr>
      <w:r w:rsidRPr="00F60B9A">
        <w:rPr>
          <w:b/>
        </w:rPr>
        <w:t>3.</w:t>
      </w:r>
      <w:r w:rsidRPr="00F60B9A">
        <w:rPr>
          <w:b/>
        </w:rPr>
        <w:tab/>
      </w:r>
      <w:r w:rsidR="00ED61B1" w:rsidRPr="00ED61B1">
        <w:rPr>
          <w:bCs/>
        </w:rPr>
        <w:t>(</w:t>
      </w:r>
      <w:r w:rsidR="00194815" w:rsidRPr="00F60B9A">
        <w:rPr>
          <w:bCs/>
        </w:rPr>
        <w:t>D</w:t>
      </w:r>
      <w:r w:rsidR="001F54A1" w:rsidRPr="00F60B9A">
        <w:rPr>
          <w:bCs/>
        </w:rPr>
        <w:t xml:space="preserve">efendant) </w:t>
      </w:r>
      <w:r w:rsidR="00194815" w:rsidRPr="00F60B9A">
        <w:rPr>
          <w:b/>
        </w:rPr>
        <w:t>failed to complete the Fi</w:t>
      </w:r>
      <w:r w:rsidR="00194815" w:rsidRPr="00F60B9A">
        <w:rPr>
          <w:bCs/>
        </w:rPr>
        <w:t>r</w:t>
      </w:r>
      <w:r w:rsidR="001F54A1" w:rsidRPr="00F60B9A">
        <w:rPr>
          <w:b/>
        </w:rPr>
        <w:t>st Degree Premeditated Murder</w:t>
      </w:r>
      <w:r w:rsidR="00194815" w:rsidRPr="00F60B9A">
        <w:rPr>
          <w:b/>
        </w:rPr>
        <w:t>.</w:t>
      </w:r>
    </w:p>
    <w:p w14:paraId="30C8F7E3" w14:textId="77777777" w:rsidR="00F61734" w:rsidRPr="00F60B9A" w:rsidRDefault="00F61734" w:rsidP="00F61734">
      <w:pPr>
        <w:autoSpaceDE w:val="0"/>
        <w:autoSpaceDN w:val="0"/>
        <w:adjustRightInd w:val="0"/>
        <w:spacing w:after="0"/>
        <w:rPr>
          <w:i/>
          <w:iCs/>
        </w:rPr>
      </w:pPr>
      <w:r w:rsidRPr="00F60B9A">
        <w:rPr>
          <w:i/>
          <w:iCs/>
        </w:rPr>
        <w:t>Berger v. State, 259 So. 3d 933 (Fla. 5th DCA 2018); State v. Coker, 452 So. 2d 1135 (Fla. 2d DCA 1984).</w:t>
      </w:r>
    </w:p>
    <w:p w14:paraId="28DA9C74" w14:textId="77777777" w:rsidR="00F61734" w:rsidRPr="00F60B9A" w:rsidRDefault="00F61734" w:rsidP="00F61734">
      <w:pPr>
        <w:autoSpaceDE w:val="0"/>
        <w:autoSpaceDN w:val="0"/>
        <w:adjustRightInd w:val="0"/>
        <w:rPr>
          <w:b/>
        </w:rPr>
      </w:pPr>
      <w:r w:rsidRPr="00F60B9A">
        <w:rPr>
          <w:b/>
        </w:rPr>
        <w:t>The line between mere preparation and an overt act is a question of fact for you to decide. Mere preparation consists of devising or arranging the means or measures necessary to commit the crime. An overt act consists of some movement toward committing the crime after mere preparation. An overt act need not be the last possible act toward completing the crime.</w:t>
      </w:r>
    </w:p>
    <w:p w14:paraId="3175EB01" w14:textId="36B88CCA" w:rsidR="00CD456B" w:rsidRPr="00F60B9A" w:rsidRDefault="000D257A" w:rsidP="00CD456B">
      <w:pPr>
        <w:autoSpaceDE w:val="0"/>
        <w:autoSpaceDN w:val="0"/>
        <w:adjustRightInd w:val="0"/>
        <w:rPr>
          <w:b/>
        </w:rPr>
      </w:pPr>
      <w:r w:rsidRPr="00F60B9A">
        <w:rPr>
          <w:b/>
        </w:rPr>
        <w:t xml:space="preserve">To prove that a </w:t>
      </w:r>
      <w:r w:rsidR="00CD456B" w:rsidRPr="00F60B9A">
        <w:rPr>
          <w:b/>
        </w:rPr>
        <w:t xml:space="preserve">First Degree Premeditated Murder </w:t>
      </w:r>
      <w:r w:rsidRPr="00F60B9A">
        <w:rPr>
          <w:b/>
        </w:rPr>
        <w:t>had taken place, the State would have to prove the following three elements beyond a reasonable doubt</w:t>
      </w:r>
      <w:r w:rsidR="00CD456B" w:rsidRPr="00F60B9A">
        <w:rPr>
          <w:b/>
        </w:rPr>
        <w:t xml:space="preserve">: </w:t>
      </w:r>
    </w:p>
    <w:p w14:paraId="13C54D5F" w14:textId="77777777" w:rsidR="00CD456B" w:rsidRPr="00F60B9A" w:rsidRDefault="00CD456B" w:rsidP="00CD456B">
      <w:pPr>
        <w:autoSpaceDE w:val="0"/>
        <w:autoSpaceDN w:val="0"/>
        <w:adjustRightInd w:val="0"/>
        <w:rPr>
          <w:b/>
        </w:rPr>
      </w:pPr>
      <w:r w:rsidRPr="00F60B9A">
        <w:rPr>
          <w:b/>
        </w:rPr>
        <w:t>1.</w:t>
      </w:r>
      <w:r w:rsidRPr="00F60B9A">
        <w:rPr>
          <w:b/>
        </w:rPr>
        <w:tab/>
      </w:r>
      <w:r w:rsidRPr="00F60B9A">
        <w:rPr>
          <w:bCs/>
        </w:rPr>
        <w:t>(Victim)</w:t>
      </w:r>
      <w:r w:rsidRPr="00F60B9A">
        <w:rPr>
          <w:b/>
        </w:rPr>
        <w:t xml:space="preserve"> is dead.</w:t>
      </w:r>
    </w:p>
    <w:p w14:paraId="1335FE58" w14:textId="77777777" w:rsidR="00CD456B" w:rsidRPr="00F60B9A" w:rsidRDefault="00CD456B" w:rsidP="00CD456B">
      <w:pPr>
        <w:autoSpaceDE w:val="0"/>
        <w:autoSpaceDN w:val="0"/>
        <w:adjustRightInd w:val="0"/>
        <w:rPr>
          <w:b/>
        </w:rPr>
      </w:pPr>
      <w:r w:rsidRPr="00F60B9A">
        <w:rPr>
          <w:b/>
        </w:rPr>
        <w:t>2.</w:t>
      </w:r>
      <w:r w:rsidRPr="00F60B9A">
        <w:rPr>
          <w:b/>
        </w:rPr>
        <w:tab/>
        <w:t xml:space="preserve">The death was caused by the criminal act of </w:t>
      </w:r>
      <w:r w:rsidRPr="00F60B9A">
        <w:rPr>
          <w:bCs/>
        </w:rPr>
        <w:t>(defendant)</w:t>
      </w:r>
      <w:r w:rsidRPr="00F60B9A">
        <w:rPr>
          <w:b/>
        </w:rPr>
        <w:t>.</w:t>
      </w:r>
    </w:p>
    <w:p w14:paraId="196B3EBA" w14:textId="77777777" w:rsidR="00CD456B" w:rsidRPr="00F60B9A" w:rsidRDefault="00CD456B" w:rsidP="00CD456B">
      <w:pPr>
        <w:autoSpaceDE w:val="0"/>
        <w:autoSpaceDN w:val="0"/>
        <w:adjustRightInd w:val="0"/>
        <w:rPr>
          <w:b/>
        </w:rPr>
      </w:pPr>
      <w:r w:rsidRPr="00F60B9A">
        <w:rPr>
          <w:b/>
        </w:rPr>
        <w:t>3.</w:t>
      </w:r>
      <w:r w:rsidRPr="00F60B9A">
        <w:rPr>
          <w:b/>
        </w:rPr>
        <w:tab/>
        <w:t xml:space="preserve">There was a premeditated killing of </w:t>
      </w:r>
      <w:r w:rsidRPr="00F60B9A">
        <w:rPr>
          <w:bCs/>
        </w:rPr>
        <w:t>(victim)</w:t>
      </w:r>
      <w:r w:rsidRPr="00F60B9A">
        <w:rPr>
          <w:b/>
        </w:rPr>
        <w:t>.</w:t>
      </w:r>
    </w:p>
    <w:p w14:paraId="3745146A" w14:textId="551C33C0" w:rsidR="00CD456B" w:rsidRPr="00F60B9A" w:rsidRDefault="00CD456B" w:rsidP="00CD456B">
      <w:pPr>
        <w:autoSpaceDE w:val="0"/>
        <w:autoSpaceDN w:val="0"/>
        <w:adjustRightInd w:val="0"/>
        <w:rPr>
          <w:b/>
        </w:rPr>
      </w:pPr>
      <w:r w:rsidRPr="00F60B9A">
        <w:rPr>
          <w:b/>
        </w:rPr>
        <w:t>“</w:t>
      </w:r>
      <w:r w:rsidR="000D257A" w:rsidRPr="00F60B9A">
        <w:rPr>
          <w:b/>
        </w:rPr>
        <w:t xml:space="preserve">A premeditated killing” </w:t>
      </w:r>
      <w:r w:rsidRPr="00F60B9A">
        <w:rPr>
          <w:b/>
        </w:rPr>
        <w:t xml:space="preserve">is killing after consciously deciding to do so. The decision must be present in the mind at the time of the killing. The law does not fix the exact </w:t>
      </w:r>
      <w:proofErr w:type="gramStart"/>
      <w:r w:rsidRPr="00F60B9A">
        <w:rPr>
          <w:b/>
        </w:rPr>
        <w:t>period of time</w:t>
      </w:r>
      <w:proofErr w:type="gramEnd"/>
      <w:r w:rsidRPr="00F60B9A">
        <w:rPr>
          <w:b/>
        </w:rPr>
        <w:t xml:space="preserve"> that must pass between the formation of the premeditated intent to kill and the killing. The </w:t>
      </w:r>
      <w:proofErr w:type="gramStart"/>
      <w:r w:rsidRPr="00F60B9A">
        <w:rPr>
          <w:b/>
        </w:rPr>
        <w:t>period of time</w:t>
      </w:r>
      <w:proofErr w:type="gramEnd"/>
      <w:r w:rsidRPr="00F60B9A">
        <w:rPr>
          <w:b/>
        </w:rPr>
        <w:t xml:space="preserve"> must be long enough to allow reflection by the defendant. The premeditated intent to kill must be formed before the killing.</w:t>
      </w:r>
    </w:p>
    <w:p w14:paraId="702CEF8F" w14:textId="35FA2564" w:rsidR="00CD456B" w:rsidRPr="00CD456B" w:rsidRDefault="00CD456B" w:rsidP="00CD456B">
      <w:pPr>
        <w:autoSpaceDE w:val="0"/>
        <w:autoSpaceDN w:val="0"/>
        <w:adjustRightInd w:val="0"/>
        <w:rPr>
          <w:b/>
          <w:u w:val="single"/>
        </w:rPr>
      </w:pPr>
      <w:r w:rsidRPr="00F60B9A">
        <w:rPr>
          <w:b/>
        </w:rPr>
        <w:t>The question of premeditation is a question of fact to be determined by you</w:t>
      </w:r>
      <w:r w:rsidRPr="00CD456B">
        <w:rPr>
          <w:b/>
          <w:u w:val="single"/>
        </w:rPr>
        <w:t xml:space="preserve"> </w:t>
      </w:r>
      <w:r w:rsidRPr="00F60B9A">
        <w:rPr>
          <w:b/>
        </w:rPr>
        <w:t xml:space="preserve">from the evidence. It will be sufficient proof of premeditation if the circumstances of the killing and the conduct of the accused convince you </w:t>
      </w:r>
      <w:r w:rsidRPr="00F60B9A">
        <w:rPr>
          <w:b/>
        </w:rPr>
        <w:lastRenderedPageBreak/>
        <w:t>beyond a reasonable doubt of the existence of premeditation at the time of the killing.</w:t>
      </w:r>
    </w:p>
    <w:p w14:paraId="4E8F7895" w14:textId="085FF658" w:rsidR="001B6C13" w:rsidRPr="00D54B72" w:rsidRDefault="001B6C13" w:rsidP="001B6C13">
      <w:pPr>
        <w:pStyle w:val="SJIComments"/>
      </w:pPr>
      <w:r w:rsidRPr="00D54B72">
        <w:t>Lesser Included Offenses</w:t>
      </w:r>
    </w:p>
    <w:p w14:paraId="7111D387" w14:textId="7514ACFD" w:rsidR="001B6C13" w:rsidRPr="00C02549" w:rsidRDefault="001B6C13" w:rsidP="001B6C13">
      <w:pPr>
        <w:pStyle w:val="Heading4"/>
      </w:pPr>
      <w:bookmarkStart w:id="2" w:name="_Toc109650274"/>
      <w:r w:rsidRPr="00C02549">
        <w:t xml:space="preserve">ATTEMPTED FIRST DEGREE PREMEDITATED MURDER </w:t>
      </w:r>
      <w:r w:rsidRPr="00C02549">
        <w:br/>
        <w:t>— 782.04(1) and 777.04</w:t>
      </w:r>
      <w:bookmarkEnd w:id="2"/>
    </w:p>
    <w:tbl>
      <w:tblPr>
        <w:tblStyle w:val="TableGrid1"/>
        <w:tblW w:w="5000" w:type="pct"/>
        <w:tblLook w:val="0420" w:firstRow="1" w:lastRow="0" w:firstColumn="0" w:lastColumn="0" w:noHBand="0" w:noVBand="1"/>
      </w:tblPr>
      <w:tblGrid>
        <w:gridCol w:w="2896"/>
        <w:gridCol w:w="2992"/>
        <w:gridCol w:w="2151"/>
        <w:gridCol w:w="1311"/>
      </w:tblGrid>
      <w:tr w:rsidR="001B6C13" w:rsidRPr="003D3BB6" w14:paraId="525BF9DE" w14:textId="77777777" w:rsidTr="00385472">
        <w:trPr>
          <w:cnfStyle w:val="100000000000" w:firstRow="1" w:lastRow="0" w:firstColumn="0" w:lastColumn="0" w:oddVBand="0" w:evenVBand="0" w:oddHBand="0" w:evenHBand="0" w:firstRowFirstColumn="0" w:firstRowLastColumn="0" w:lastRowFirstColumn="0" w:lastRowLastColumn="0"/>
        </w:trPr>
        <w:tc>
          <w:tcPr>
            <w:tcW w:w="1549" w:type="pct"/>
          </w:tcPr>
          <w:p w14:paraId="53ECD55B" w14:textId="77777777" w:rsidR="001B6C13" w:rsidRPr="003D3BB6" w:rsidRDefault="001B6C13" w:rsidP="00385472">
            <w:pPr>
              <w:pStyle w:val="SJITableText"/>
            </w:pPr>
            <w:r w:rsidRPr="003D3BB6">
              <w:t>CATEGORY ONE</w:t>
            </w:r>
          </w:p>
        </w:tc>
        <w:tc>
          <w:tcPr>
            <w:tcW w:w="1600" w:type="pct"/>
          </w:tcPr>
          <w:p w14:paraId="3FC1F2E1" w14:textId="77777777" w:rsidR="001B6C13" w:rsidRPr="003D3BB6" w:rsidRDefault="001B6C13" w:rsidP="00385472">
            <w:pPr>
              <w:pStyle w:val="SJITableText"/>
            </w:pPr>
            <w:r w:rsidRPr="003D3BB6">
              <w:t>CATEGORY TWO</w:t>
            </w:r>
          </w:p>
        </w:tc>
        <w:tc>
          <w:tcPr>
            <w:tcW w:w="1150" w:type="pct"/>
          </w:tcPr>
          <w:p w14:paraId="0E8F6E05" w14:textId="77777777" w:rsidR="001B6C13" w:rsidRPr="003D3BB6" w:rsidRDefault="001B6C13" w:rsidP="00385472">
            <w:pPr>
              <w:pStyle w:val="SJITableText"/>
            </w:pPr>
            <w:r w:rsidRPr="003D3BB6">
              <w:t>FLA. STAT.</w:t>
            </w:r>
          </w:p>
        </w:tc>
        <w:tc>
          <w:tcPr>
            <w:tcW w:w="701" w:type="pct"/>
          </w:tcPr>
          <w:p w14:paraId="2F7C65D9" w14:textId="77777777" w:rsidR="001B6C13" w:rsidRPr="003D3BB6" w:rsidRDefault="001B6C13" w:rsidP="00385472">
            <w:pPr>
              <w:pStyle w:val="SJITableText"/>
            </w:pPr>
            <w:r w:rsidRPr="003D3BB6">
              <w:t>INS. NO.</w:t>
            </w:r>
          </w:p>
        </w:tc>
      </w:tr>
      <w:tr w:rsidR="001B6C13" w:rsidRPr="003D3BB6" w14:paraId="3EC2B977" w14:textId="77777777" w:rsidTr="00385472">
        <w:tc>
          <w:tcPr>
            <w:tcW w:w="1549" w:type="pct"/>
          </w:tcPr>
          <w:p w14:paraId="2D8D90CB" w14:textId="77777777" w:rsidR="001B6C13" w:rsidRPr="003D3BB6" w:rsidRDefault="001B6C13" w:rsidP="00385472">
            <w:pPr>
              <w:pStyle w:val="SJITableText"/>
            </w:pPr>
            <w:r w:rsidRPr="003D3BB6">
              <w:t>Attempted second degree (depraved mind) murder</w:t>
            </w:r>
          </w:p>
        </w:tc>
        <w:tc>
          <w:tcPr>
            <w:tcW w:w="1600" w:type="pct"/>
          </w:tcPr>
          <w:p w14:paraId="2AF878BD" w14:textId="77777777" w:rsidR="001B6C13" w:rsidRPr="003D3BB6" w:rsidRDefault="001B6C13" w:rsidP="00385472">
            <w:pPr>
              <w:pStyle w:val="SJITableText"/>
            </w:pPr>
          </w:p>
        </w:tc>
        <w:tc>
          <w:tcPr>
            <w:tcW w:w="1150" w:type="pct"/>
          </w:tcPr>
          <w:p w14:paraId="193CBEF5" w14:textId="77777777" w:rsidR="001B6C13" w:rsidRPr="003D3BB6" w:rsidRDefault="001B6C13" w:rsidP="00385472">
            <w:pPr>
              <w:pStyle w:val="SJITableText"/>
            </w:pPr>
            <w:r w:rsidRPr="003D3BB6">
              <w:t>782.04(2) and 777.04</w:t>
            </w:r>
          </w:p>
        </w:tc>
        <w:tc>
          <w:tcPr>
            <w:tcW w:w="701" w:type="pct"/>
          </w:tcPr>
          <w:p w14:paraId="4A767DBE" w14:textId="77777777" w:rsidR="001B6C13" w:rsidRPr="003D3BB6" w:rsidRDefault="001B6C13" w:rsidP="00385472">
            <w:pPr>
              <w:pStyle w:val="SJITableText"/>
            </w:pPr>
            <w:r w:rsidRPr="003D3BB6">
              <w:t>6.4</w:t>
            </w:r>
          </w:p>
        </w:tc>
      </w:tr>
      <w:tr w:rsidR="001B6C13" w:rsidRPr="003D3BB6" w14:paraId="3A07CFAC" w14:textId="77777777" w:rsidTr="00385472">
        <w:tc>
          <w:tcPr>
            <w:tcW w:w="1549" w:type="pct"/>
          </w:tcPr>
          <w:p w14:paraId="4F51E318" w14:textId="2FCC0B18" w:rsidR="001B6C13" w:rsidRPr="003D3BB6" w:rsidRDefault="001B6C13" w:rsidP="00385472">
            <w:pPr>
              <w:pStyle w:val="SJITableText"/>
            </w:pPr>
            <w:r w:rsidRPr="003D3BB6">
              <w:t>Attempted manslaughter by act</w:t>
            </w:r>
          </w:p>
        </w:tc>
        <w:tc>
          <w:tcPr>
            <w:tcW w:w="1600" w:type="pct"/>
          </w:tcPr>
          <w:p w14:paraId="1381F9E5" w14:textId="77777777" w:rsidR="001B6C13" w:rsidRPr="003D3BB6" w:rsidRDefault="001B6C13" w:rsidP="00385472">
            <w:pPr>
              <w:pStyle w:val="SJITableText"/>
            </w:pPr>
          </w:p>
        </w:tc>
        <w:tc>
          <w:tcPr>
            <w:tcW w:w="1150" w:type="pct"/>
          </w:tcPr>
          <w:p w14:paraId="7C5C886D" w14:textId="77777777" w:rsidR="001B6C13" w:rsidRPr="003D3BB6" w:rsidRDefault="001B6C13" w:rsidP="00385472">
            <w:pPr>
              <w:pStyle w:val="SJITableText"/>
            </w:pPr>
            <w:r w:rsidRPr="003D3BB6">
              <w:t>782.07 and 777.04</w:t>
            </w:r>
          </w:p>
        </w:tc>
        <w:tc>
          <w:tcPr>
            <w:tcW w:w="701" w:type="pct"/>
          </w:tcPr>
          <w:p w14:paraId="04EAAD52" w14:textId="77777777" w:rsidR="001B6C13" w:rsidRPr="003D3BB6" w:rsidRDefault="001B6C13" w:rsidP="00385472">
            <w:pPr>
              <w:pStyle w:val="SJITableText"/>
            </w:pPr>
            <w:r w:rsidRPr="003D3BB6">
              <w:t>6.6</w:t>
            </w:r>
          </w:p>
        </w:tc>
      </w:tr>
      <w:tr w:rsidR="001B6C13" w:rsidRPr="003D3BB6" w14:paraId="5B084231" w14:textId="77777777" w:rsidTr="00385472">
        <w:tc>
          <w:tcPr>
            <w:tcW w:w="1549" w:type="pct"/>
          </w:tcPr>
          <w:p w14:paraId="58B6CBC1" w14:textId="77777777" w:rsidR="001B6C13" w:rsidRPr="003D3BB6" w:rsidRDefault="001B6C13" w:rsidP="00385472">
            <w:pPr>
              <w:pStyle w:val="SJITableText"/>
            </w:pPr>
            <w:r w:rsidRPr="003D3BB6">
              <w:t>Attempted aggravated battery (intentionally cause great bodily harm)</w:t>
            </w:r>
          </w:p>
        </w:tc>
        <w:tc>
          <w:tcPr>
            <w:tcW w:w="1600" w:type="pct"/>
          </w:tcPr>
          <w:p w14:paraId="77B395E2" w14:textId="77777777" w:rsidR="001B6C13" w:rsidRPr="003D3BB6" w:rsidRDefault="001B6C13" w:rsidP="00385472">
            <w:pPr>
              <w:pStyle w:val="SJITableText"/>
            </w:pPr>
          </w:p>
        </w:tc>
        <w:tc>
          <w:tcPr>
            <w:tcW w:w="1150" w:type="pct"/>
          </w:tcPr>
          <w:p w14:paraId="3F89F916" w14:textId="77777777" w:rsidR="001B6C13" w:rsidRPr="003D3BB6" w:rsidRDefault="001B6C13" w:rsidP="00385472">
            <w:pPr>
              <w:pStyle w:val="SJITableText"/>
            </w:pPr>
            <w:r w:rsidRPr="003D3BB6">
              <w:t>784.045(1)(a)1 and 777.04</w:t>
            </w:r>
          </w:p>
        </w:tc>
        <w:tc>
          <w:tcPr>
            <w:tcW w:w="701" w:type="pct"/>
          </w:tcPr>
          <w:p w14:paraId="2B258FBE" w14:textId="77777777" w:rsidR="001B6C13" w:rsidRPr="003D3BB6" w:rsidRDefault="001B6C13" w:rsidP="00385472">
            <w:pPr>
              <w:pStyle w:val="SJITableText"/>
            </w:pPr>
            <w:r w:rsidRPr="003D3BB6">
              <w:t>8.4 and 5.1</w:t>
            </w:r>
          </w:p>
        </w:tc>
      </w:tr>
      <w:tr w:rsidR="001B6C13" w:rsidRPr="003D3BB6" w14:paraId="74F6202F" w14:textId="77777777" w:rsidTr="00385472">
        <w:tc>
          <w:tcPr>
            <w:tcW w:w="1549" w:type="pct"/>
          </w:tcPr>
          <w:p w14:paraId="66E0274B" w14:textId="77777777" w:rsidR="001B6C13" w:rsidRPr="003D3BB6" w:rsidRDefault="001B6C13" w:rsidP="00385472">
            <w:pPr>
              <w:pStyle w:val="SJITableText"/>
            </w:pPr>
            <w:r w:rsidRPr="003D3BB6">
              <w:t>Attempted battery (intentionally cause bodily harm)</w:t>
            </w:r>
          </w:p>
        </w:tc>
        <w:tc>
          <w:tcPr>
            <w:tcW w:w="1600" w:type="pct"/>
          </w:tcPr>
          <w:p w14:paraId="40504BC0" w14:textId="77777777" w:rsidR="001B6C13" w:rsidRPr="003D3BB6" w:rsidRDefault="001B6C13" w:rsidP="00385472">
            <w:pPr>
              <w:pStyle w:val="SJITableText"/>
            </w:pPr>
          </w:p>
        </w:tc>
        <w:tc>
          <w:tcPr>
            <w:tcW w:w="1150" w:type="pct"/>
          </w:tcPr>
          <w:p w14:paraId="6376E6FB" w14:textId="77777777" w:rsidR="001B6C13" w:rsidRPr="003D3BB6" w:rsidRDefault="001B6C13" w:rsidP="00385472">
            <w:pPr>
              <w:pStyle w:val="SJITableText"/>
            </w:pPr>
            <w:r w:rsidRPr="003D3BB6">
              <w:t>784.03(1)(a)2 and 777.04</w:t>
            </w:r>
          </w:p>
        </w:tc>
        <w:tc>
          <w:tcPr>
            <w:tcW w:w="701" w:type="pct"/>
          </w:tcPr>
          <w:p w14:paraId="63880A0A" w14:textId="77777777" w:rsidR="001B6C13" w:rsidRPr="003D3BB6" w:rsidRDefault="001B6C13" w:rsidP="00385472">
            <w:pPr>
              <w:pStyle w:val="SJITableText"/>
            </w:pPr>
            <w:r w:rsidRPr="003D3BB6">
              <w:t>8.3 and 5.1</w:t>
            </w:r>
          </w:p>
        </w:tc>
      </w:tr>
      <w:tr w:rsidR="001B6C13" w:rsidRPr="003D3BB6" w14:paraId="02BCB02F" w14:textId="77777777" w:rsidTr="00385472">
        <w:tc>
          <w:tcPr>
            <w:tcW w:w="1549" w:type="pct"/>
          </w:tcPr>
          <w:p w14:paraId="213DA343" w14:textId="77777777" w:rsidR="001B6C13" w:rsidRPr="003D3BB6" w:rsidRDefault="001B6C13" w:rsidP="00385472">
            <w:pPr>
              <w:pStyle w:val="SJITableText"/>
            </w:pPr>
          </w:p>
        </w:tc>
        <w:tc>
          <w:tcPr>
            <w:tcW w:w="1600" w:type="pct"/>
          </w:tcPr>
          <w:p w14:paraId="54AD024D" w14:textId="77777777" w:rsidR="001B6C13" w:rsidRPr="003D3BB6" w:rsidRDefault="001B6C13" w:rsidP="00385472">
            <w:pPr>
              <w:pStyle w:val="SJITableText"/>
            </w:pPr>
            <w:r w:rsidRPr="003D3BB6">
              <w:t>Attempted felony murder</w:t>
            </w:r>
          </w:p>
        </w:tc>
        <w:tc>
          <w:tcPr>
            <w:tcW w:w="1150" w:type="pct"/>
          </w:tcPr>
          <w:p w14:paraId="0C3E3053" w14:textId="77777777" w:rsidR="001B6C13" w:rsidRPr="003D3BB6" w:rsidRDefault="001B6C13" w:rsidP="00385472">
            <w:pPr>
              <w:pStyle w:val="SJITableText"/>
            </w:pPr>
            <w:r w:rsidRPr="003D3BB6">
              <w:t>782.051(2)</w:t>
            </w:r>
          </w:p>
        </w:tc>
        <w:tc>
          <w:tcPr>
            <w:tcW w:w="701" w:type="pct"/>
          </w:tcPr>
          <w:p w14:paraId="48D0864A" w14:textId="77777777" w:rsidR="001B6C13" w:rsidRPr="003D3BB6" w:rsidRDefault="001B6C13" w:rsidP="00385472">
            <w:pPr>
              <w:pStyle w:val="SJITableText"/>
            </w:pPr>
            <w:r w:rsidRPr="003D3BB6">
              <w:t>6.3</w:t>
            </w:r>
          </w:p>
        </w:tc>
      </w:tr>
      <w:tr w:rsidR="001B6C13" w:rsidRPr="003D3BB6" w14:paraId="68CCA3E8" w14:textId="77777777" w:rsidTr="00385472">
        <w:tc>
          <w:tcPr>
            <w:tcW w:w="1549" w:type="pct"/>
          </w:tcPr>
          <w:p w14:paraId="1BBFB2C0" w14:textId="77777777" w:rsidR="001B6C13" w:rsidRPr="003D3BB6" w:rsidRDefault="001B6C13" w:rsidP="00385472">
            <w:pPr>
              <w:pStyle w:val="SJITableText"/>
            </w:pPr>
          </w:p>
        </w:tc>
        <w:tc>
          <w:tcPr>
            <w:tcW w:w="1600" w:type="pct"/>
          </w:tcPr>
          <w:p w14:paraId="243921A8" w14:textId="77777777" w:rsidR="001B6C13" w:rsidRPr="003D3BB6" w:rsidRDefault="001B6C13" w:rsidP="00385472">
            <w:pPr>
              <w:pStyle w:val="SJITableText"/>
            </w:pPr>
            <w:r w:rsidRPr="003D3BB6">
              <w:t>Attempted felony murder</w:t>
            </w:r>
          </w:p>
        </w:tc>
        <w:tc>
          <w:tcPr>
            <w:tcW w:w="1150" w:type="pct"/>
          </w:tcPr>
          <w:p w14:paraId="3ECCF376" w14:textId="77777777" w:rsidR="001B6C13" w:rsidRPr="003D3BB6" w:rsidRDefault="001B6C13" w:rsidP="00385472">
            <w:pPr>
              <w:pStyle w:val="SJITableText"/>
            </w:pPr>
            <w:r w:rsidRPr="003D3BB6">
              <w:t>782.051(3)</w:t>
            </w:r>
          </w:p>
        </w:tc>
        <w:tc>
          <w:tcPr>
            <w:tcW w:w="701" w:type="pct"/>
          </w:tcPr>
          <w:p w14:paraId="57A4D001" w14:textId="77777777" w:rsidR="001B6C13" w:rsidRPr="003D3BB6" w:rsidRDefault="001B6C13" w:rsidP="00385472">
            <w:pPr>
              <w:pStyle w:val="SJITableText"/>
            </w:pPr>
            <w:r w:rsidRPr="003D3BB6">
              <w:t>6.3(a)</w:t>
            </w:r>
          </w:p>
        </w:tc>
      </w:tr>
      <w:tr w:rsidR="001B6C13" w:rsidRPr="003D3BB6" w14:paraId="350A618A" w14:textId="77777777" w:rsidTr="00385472">
        <w:tc>
          <w:tcPr>
            <w:tcW w:w="1549" w:type="pct"/>
          </w:tcPr>
          <w:p w14:paraId="0DB8EA8E" w14:textId="77777777" w:rsidR="001B6C13" w:rsidRPr="003D3BB6" w:rsidRDefault="001B6C13" w:rsidP="00385472">
            <w:pPr>
              <w:pStyle w:val="SJITableText"/>
            </w:pPr>
          </w:p>
        </w:tc>
        <w:tc>
          <w:tcPr>
            <w:tcW w:w="1600" w:type="pct"/>
          </w:tcPr>
          <w:p w14:paraId="0A0AF2F3" w14:textId="77777777" w:rsidR="001B6C13" w:rsidRPr="003D3BB6" w:rsidRDefault="001B6C13" w:rsidP="00385472">
            <w:pPr>
              <w:pStyle w:val="SJITableText"/>
            </w:pPr>
            <w:r w:rsidRPr="003D3BB6">
              <w:t>Aggravated battery</w:t>
            </w:r>
          </w:p>
        </w:tc>
        <w:tc>
          <w:tcPr>
            <w:tcW w:w="1150" w:type="pct"/>
          </w:tcPr>
          <w:p w14:paraId="611711F1" w14:textId="77777777" w:rsidR="001B6C13" w:rsidRPr="003D3BB6" w:rsidRDefault="001B6C13" w:rsidP="00385472">
            <w:pPr>
              <w:pStyle w:val="SJITableText"/>
            </w:pPr>
            <w:r w:rsidRPr="003D3BB6">
              <w:t>784.045</w:t>
            </w:r>
          </w:p>
        </w:tc>
        <w:tc>
          <w:tcPr>
            <w:tcW w:w="701" w:type="pct"/>
          </w:tcPr>
          <w:p w14:paraId="4D183732" w14:textId="77777777" w:rsidR="001B6C13" w:rsidRPr="003D3BB6" w:rsidRDefault="001B6C13" w:rsidP="00385472">
            <w:pPr>
              <w:pStyle w:val="SJITableText"/>
            </w:pPr>
            <w:r w:rsidRPr="003D3BB6">
              <w:t>8.4</w:t>
            </w:r>
          </w:p>
        </w:tc>
      </w:tr>
      <w:tr w:rsidR="001B6C13" w:rsidRPr="003D3BB6" w14:paraId="160C3CC8" w14:textId="77777777" w:rsidTr="00385472">
        <w:tc>
          <w:tcPr>
            <w:tcW w:w="1549" w:type="pct"/>
          </w:tcPr>
          <w:p w14:paraId="6A4CC5F2" w14:textId="77777777" w:rsidR="001B6C13" w:rsidRPr="003D3BB6" w:rsidRDefault="001B6C13" w:rsidP="00385472">
            <w:pPr>
              <w:pStyle w:val="SJITableText"/>
            </w:pPr>
          </w:p>
        </w:tc>
        <w:tc>
          <w:tcPr>
            <w:tcW w:w="1600" w:type="pct"/>
          </w:tcPr>
          <w:p w14:paraId="1E52B473" w14:textId="77777777" w:rsidR="001B6C13" w:rsidRPr="003D3BB6" w:rsidRDefault="001B6C13" w:rsidP="00385472">
            <w:pPr>
              <w:pStyle w:val="SJITableText"/>
            </w:pPr>
            <w:r w:rsidRPr="003D3BB6">
              <w:t>Felony battery</w:t>
            </w:r>
          </w:p>
        </w:tc>
        <w:tc>
          <w:tcPr>
            <w:tcW w:w="1150" w:type="pct"/>
          </w:tcPr>
          <w:p w14:paraId="65E169F4" w14:textId="77777777" w:rsidR="001B6C13" w:rsidRPr="003D3BB6" w:rsidRDefault="001B6C13" w:rsidP="00385472">
            <w:pPr>
              <w:pStyle w:val="SJITableText"/>
            </w:pPr>
            <w:r w:rsidRPr="003D3BB6">
              <w:t>784.041(1)</w:t>
            </w:r>
          </w:p>
        </w:tc>
        <w:tc>
          <w:tcPr>
            <w:tcW w:w="701" w:type="pct"/>
          </w:tcPr>
          <w:p w14:paraId="13AAAF1A" w14:textId="77777777" w:rsidR="001B6C13" w:rsidRPr="003D3BB6" w:rsidRDefault="001B6C13" w:rsidP="00385472">
            <w:pPr>
              <w:pStyle w:val="SJITableText"/>
            </w:pPr>
            <w:r w:rsidRPr="003D3BB6">
              <w:t>8.5</w:t>
            </w:r>
          </w:p>
        </w:tc>
      </w:tr>
      <w:tr w:rsidR="001B6C13" w:rsidRPr="003D3BB6" w14:paraId="7BBA7029" w14:textId="77777777" w:rsidTr="00385472">
        <w:tc>
          <w:tcPr>
            <w:tcW w:w="1549" w:type="pct"/>
          </w:tcPr>
          <w:p w14:paraId="6E84914E" w14:textId="77777777" w:rsidR="001B6C13" w:rsidRPr="003D3BB6" w:rsidRDefault="001B6C13" w:rsidP="00385472">
            <w:pPr>
              <w:pStyle w:val="SJITableText"/>
            </w:pPr>
          </w:p>
        </w:tc>
        <w:tc>
          <w:tcPr>
            <w:tcW w:w="1600" w:type="pct"/>
          </w:tcPr>
          <w:p w14:paraId="6EC75691" w14:textId="3A8FA1FB" w:rsidR="001B6C13" w:rsidRPr="003D3BB6" w:rsidRDefault="001B6C13" w:rsidP="00385472">
            <w:pPr>
              <w:pStyle w:val="SJITableText"/>
            </w:pPr>
            <w:r w:rsidRPr="003D3BB6">
              <w:t xml:space="preserve">Aggravated </w:t>
            </w:r>
            <w:r w:rsidR="001714AD" w:rsidRPr="001F3AE7">
              <w:t>a</w:t>
            </w:r>
            <w:r w:rsidRPr="003D3BB6">
              <w:t>ssault</w:t>
            </w:r>
          </w:p>
        </w:tc>
        <w:tc>
          <w:tcPr>
            <w:tcW w:w="1150" w:type="pct"/>
          </w:tcPr>
          <w:p w14:paraId="7050F4FB" w14:textId="77777777" w:rsidR="001B6C13" w:rsidRPr="003D3BB6" w:rsidRDefault="001B6C13" w:rsidP="00385472">
            <w:pPr>
              <w:pStyle w:val="SJITableText"/>
            </w:pPr>
            <w:r w:rsidRPr="003D3BB6">
              <w:t>784.021</w:t>
            </w:r>
          </w:p>
        </w:tc>
        <w:tc>
          <w:tcPr>
            <w:tcW w:w="701" w:type="pct"/>
          </w:tcPr>
          <w:p w14:paraId="6CD32835" w14:textId="77777777" w:rsidR="001B6C13" w:rsidRPr="003D3BB6" w:rsidRDefault="001B6C13" w:rsidP="00385472">
            <w:pPr>
              <w:pStyle w:val="SJITableText"/>
            </w:pPr>
            <w:r w:rsidRPr="003D3BB6">
              <w:t>8.2</w:t>
            </w:r>
          </w:p>
        </w:tc>
      </w:tr>
      <w:tr w:rsidR="001B6C13" w:rsidRPr="003D3BB6" w14:paraId="151B117F" w14:textId="77777777" w:rsidTr="00385472">
        <w:tc>
          <w:tcPr>
            <w:tcW w:w="1549" w:type="pct"/>
          </w:tcPr>
          <w:p w14:paraId="3A6DDF4A" w14:textId="77777777" w:rsidR="001B6C13" w:rsidRPr="003D3BB6" w:rsidRDefault="001B6C13" w:rsidP="00385472">
            <w:pPr>
              <w:pStyle w:val="SJITableText"/>
            </w:pPr>
          </w:p>
        </w:tc>
        <w:tc>
          <w:tcPr>
            <w:tcW w:w="1600" w:type="pct"/>
          </w:tcPr>
          <w:p w14:paraId="241BE03E" w14:textId="77777777" w:rsidR="001B6C13" w:rsidRPr="003D3BB6" w:rsidRDefault="001B6C13" w:rsidP="00385472">
            <w:pPr>
              <w:pStyle w:val="SJITableText"/>
            </w:pPr>
            <w:r w:rsidRPr="003D3BB6">
              <w:t>Battery</w:t>
            </w:r>
          </w:p>
        </w:tc>
        <w:tc>
          <w:tcPr>
            <w:tcW w:w="1150" w:type="pct"/>
          </w:tcPr>
          <w:p w14:paraId="5C767381" w14:textId="77777777" w:rsidR="001B6C13" w:rsidRPr="003D3BB6" w:rsidRDefault="001B6C13" w:rsidP="00385472">
            <w:pPr>
              <w:pStyle w:val="SJITableText"/>
            </w:pPr>
            <w:r w:rsidRPr="003D3BB6">
              <w:t>784.03</w:t>
            </w:r>
          </w:p>
        </w:tc>
        <w:tc>
          <w:tcPr>
            <w:tcW w:w="701" w:type="pct"/>
          </w:tcPr>
          <w:p w14:paraId="4739F28E" w14:textId="77777777" w:rsidR="001B6C13" w:rsidRPr="003D3BB6" w:rsidRDefault="001B6C13" w:rsidP="00385472">
            <w:pPr>
              <w:pStyle w:val="SJITableText"/>
            </w:pPr>
            <w:r w:rsidRPr="003D3BB6">
              <w:t>8.3</w:t>
            </w:r>
          </w:p>
        </w:tc>
      </w:tr>
      <w:tr w:rsidR="001B6C13" w:rsidRPr="003D3BB6" w14:paraId="1D3DA049" w14:textId="77777777" w:rsidTr="00385472">
        <w:tc>
          <w:tcPr>
            <w:tcW w:w="1549" w:type="pct"/>
          </w:tcPr>
          <w:p w14:paraId="4A7AFBCB" w14:textId="77777777" w:rsidR="001B6C13" w:rsidRPr="003D3BB6" w:rsidRDefault="001B6C13" w:rsidP="00385472">
            <w:pPr>
              <w:pStyle w:val="SJITableText"/>
            </w:pPr>
          </w:p>
        </w:tc>
        <w:tc>
          <w:tcPr>
            <w:tcW w:w="1600" w:type="pct"/>
          </w:tcPr>
          <w:p w14:paraId="6B1A7F99" w14:textId="77777777" w:rsidR="001B6C13" w:rsidRPr="003D3BB6" w:rsidRDefault="001B6C13" w:rsidP="00385472">
            <w:pPr>
              <w:pStyle w:val="SJITableText"/>
            </w:pPr>
            <w:r w:rsidRPr="003D3BB6">
              <w:t>Assault</w:t>
            </w:r>
          </w:p>
        </w:tc>
        <w:tc>
          <w:tcPr>
            <w:tcW w:w="1150" w:type="pct"/>
          </w:tcPr>
          <w:p w14:paraId="729DFD26" w14:textId="77777777" w:rsidR="001B6C13" w:rsidRPr="003D3BB6" w:rsidRDefault="001B6C13" w:rsidP="00385472">
            <w:pPr>
              <w:pStyle w:val="SJITableText"/>
            </w:pPr>
            <w:r w:rsidRPr="003D3BB6">
              <w:t>784.011</w:t>
            </w:r>
          </w:p>
        </w:tc>
        <w:tc>
          <w:tcPr>
            <w:tcW w:w="701" w:type="pct"/>
          </w:tcPr>
          <w:p w14:paraId="3205A2A7" w14:textId="77777777" w:rsidR="001B6C13" w:rsidRPr="003D3BB6" w:rsidRDefault="001B6C13" w:rsidP="00385472">
            <w:pPr>
              <w:pStyle w:val="SJITableText"/>
            </w:pPr>
            <w:r w:rsidRPr="003D3BB6">
              <w:t>8.1</w:t>
            </w:r>
          </w:p>
        </w:tc>
      </w:tr>
    </w:tbl>
    <w:p w14:paraId="603ACC29" w14:textId="77777777" w:rsidR="001B6C13" w:rsidRPr="00D54B72" w:rsidRDefault="001B6C13" w:rsidP="001B6C13">
      <w:pPr>
        <w:pStyle w:val="SJIComments"/>
      </w:pPr>
      <w:r w:rsidRPr="00D54B72">
        <w:t>Comments</w:t>
      </w:r>
    </w:p>
    <w:p w14:paraId="4AB73136" w14:textId="77777777" w:rsidR="001B6C13" w:rsidRPr="00D54B72" w:rsidRDefault="001B6C13" w:rsidP="001B6C13">
      <w:pPr>
        <w:autoSpaceDE w:val="0"/>
        <w:autoSpaceDN w:val="0"/>
        <w:adjustRightInd w:val="0"/>
      </w:pPr>
      <w:r w:rsidRPr="00D54B72">
        <w:t>See Instruction 5.1 for the affirmative defense of renunciation.</w:t>
      </w:r>
    </w:p>
    <w:p w14:paraId="70E7C92B" w14:textId="3B438798" w:rsidR="001B6C13" w:rsidRPr="003B713F" w:rsidRDefault="001B6C13" w:rsidP="001B6C13">
      <w:pPr>
        <w:autoSpaceDE w:val="0"/>
        <w:autoSpaceDN w:val="0"/>
        <w:adjustRightInd w:val="0"/>
        <w:rPr>
          <w:u w:val="single"/>
        </w:rPr>
      </w:pPr>
      <w:r w:rsidRPr="00D54B72">
        <w:t>See Instruction 6.7 for the § 782.065, Fla. Stat., reclassification when the victim is a law enforcement officer, correctional officer, etc.</w:t>
      </w:r>
      <w:r w:rsidR="003B713F" w:rsidRPr="00F60B9A">
        <w:t xml:space="preserve"> and instruction 3.15 for the scoresheet multiplier in § 775.0823, Fla. Stat.</w:t>
      </w:r>
    </w:p>
    <w:p w14:paraId="033CDAB8" w14:textId="1FB8CCB6" w:rsidR="000D257A" w:rsidRPr="00F60B9A" w:rsidRDefault="000D257A" w:rsidP="000D257A">
      <w:pPr>
        <w:autoSpaceDE w:val="0"/>
        <w:autoSpaceDN w:val="0"/>
        <w:adjustRightInd w:val="0"/>
        <w:rPr>
          <w:bCs/>
        </w:rPr>
      </w:pPr>
      <w:r w:rsidRPr="00F60B9A">
        <w:rPr>
          <w:bCs/>
        </w:rPr>
        <w:t xml:space="preserve">If there is evidence the defendant acted in the heat of passion on legally adequate provocation, </w:t>
      </w:r>
      <w:r w:rsidR="001714AD" w:rsidRPr="00F60B9A">
        <w:rPr>
          <w:bCs/>
        </w:rPr>
        <w:t xml:space="preserve">judges must </w:t>
      </w:r>
      <w:r w:rsidRPr="00F60B9A">
        <w:rPr>
          <w:bCs/>
        </w:rPr>
        <w:t xml:space="preserve">explain the concept of heat of passion </w:t>
      </w:r>
      <w:r w:rsidR="001714AD" w:rsidRPr="00F60B9A">
        <w:rPr>
          <w:bCs/>
        </w:rPr>
        <w:t>to the jury. See</w:t>
      </w:r>
      <w:r w:rsidRPr="00F60B9A">
        <w:rPr>
          <w:bCs/>
        </w:rPr>
        <w:t xml:space="preserve"> Instruction 7.2. </w:t>
      </w:r>
    </w:p>
    <w:p w14:paraId="071D6DB0" w14:textId="5BA2381D" w:rsidR="001B6C13" w:rsidRDefault="001B6C13" w:rsidP="001B6C13">
      <w:pPr>
        <w:autoSpaceDE w:val="0"/>
        <w:autoSpaceDN w:val="0"/>
        <w:adjustRightInd w:val="0"/>
      </w:pPr>
      <w:r w:rsidRPr="00D54B72">
        <w:t xml:space="preserve">A charging document that tracks the language of the Attempted First-Degree Premeditated Murder statute does not charge Attempted Felony Murder. </w:t>
      </w:r>
      <w:r w:rsidRPr="00D54B72">
        <w:rPr>
          <w:i/>
        </w:rPr>
        <w:t>See Weatherspoon v. State</w:t>
      </w:r>
      <w:r w:rsidRPr="00D54B72">
        <w:t>, 214 So. 3d 578 (Fla. 2017).</w:t>
      </w:r>
    </w:p>
    <w:p w14:paraId="659208C0" w14:textId="2406F91D" w:rsidR="009435D1" w:rsidRDefault="005C774C" w:rsidP="00DA5B37">
      <w:pPr>
        <w:autoSpaceDE w:val="0"/>
        <w:autoSpaceDN w:val="0"/>
        <w:adjustRightInd w:val="0"/>
      </w:pPr>
      <w:r w:rsidRPr="005C774C">
        <w:t>T</w:t>
      </w:r>
      <w:r w:rsidR="001B6C13" w:rsidRPr="00D54B72">
        <w:t>his instruction was adopted in 1994 [636 So. 2d 502] and amended in 2014 [137 So. 3d 995], 2018 [236 So. 3d 282], on December 15, 2021</w:t>
      </w:r>
      <w:r w:rsidR="000D257A" w:rsidRPr="001F3AE7">
        <w:t xml:space="preserve">, and on </w:t>
      </w:r>
      <w:r w:rsidR="001F3AE7" w:rsidRPr="001F3AE7">
        <w:t>December 15, 2023.</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25381DE3"/>
    <w:multiLevelType w:val="hybridMultilevel"/>
    <w:tmpl w:val="FFFFFFFF"/>
    <w:lvl w:ilvl="0" w:tplc="6444029A">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433547502">
    <w:abstractNumId w:val="2"/>
  </w:num>
  <w:num w:numId="2" w16cid:durableId="261649568">
    <w:abstractNumId w:val="0"/>
  </w:num>
  <w:num w:numId="3" w16cid:durableId="1910072926">
    <w:abstractNumId w:val="0"/>
  </w:num>
  <w:num w:numId="4" w16cid:durableId="785000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C13"/>
    <w:rsid w:val="000D257A"/>
    <w:rsid w:val="00106BF5"/>
    <w:rsid w:val="001714AD"/>
    <w:rsid w:val="00194815"/>
    <w:rsid w:val="001B6C13"/>
    <w:rsid w:val="001F3AE7"/>
    <w:rsid w:val="001F54A1"/>
    <w:rsid w:val="00276059"/>
    <w:rsid w:val="0038390A"/>
    <w:rsid w:val="00385472"/>
    <w:rsid w:val="003B713F"/>
    <w:rsid w:val="003D3BB6"/>
    <w:rsid w:val="003E05DE"/>
    <w:rsid w:val="005C774C"/>
    <w:rsid w:val="007D1EBA"/>
    <w:rsid w:val="009435D1"/>
    <w:rsid w:val="00AE51FF"/>
    <w:rsid w:val="00C02549"/>
    <w:rsid w:val="00CD456B"/>
    <w:rsid w:val="00D54B72"/>
    <w:rsid w:val="00DA5B37"/>
    <w:rsid w:val="00ED61B1"/>
    <w:rsid w:val="00F60B9A"/>
    <w:rsid w:val="00F61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B6E325"/>
  <w14:defaultImageDpi w14:val="0"/>
  <w15:docId w15:val="{E7AAC809-55E2-40A1-A498-F78DBAA53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C13"/>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1B6C13"/>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1B6C13"/>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1B6C13"/>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1B6C13"/>
    <w:pPr>
      <w:outlineLvl w:val="3"/>
    </w:pPr>
  </w:style>
  <w:style w:type="paragraph" w:styleId="Heading5">
    <w:name w:val="heading 5"/>
    <w:basedOn w:val="Normal"/>
    <w:next w:val="Normal"/>
    <w:link w:val="Heading5Char"/>
    <w:uiPriority w:val="9"/>
    <w:qFormat/>
    <w:rsid w:val="001B6C13"/>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1B6C13"/>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1B6C13"/>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1B6C13"/>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1B6C13"/>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6C13"/>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1B6C13"/>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1B6C13"/>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1B6C13"/>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1B6C13"/>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1B6C13"/>
    <w:rPr>
      <w:rFonts w:ascii="Times New Roman" w:hAnsi="Times New Roman" w:cs="Times New Roman"/>
      <w:b/>
      <w:bCs/>
    </w:rPr>
  </w:style>
  <w:style w:type="character" w:customStyle="1" w:styleId="Heading7Char">
    <w:name w:val="Heading 7 Char"/>
    <w:basedOn w:val="DefaultParagraphFont"/>
    <w:link w:val="Heading7"/>
    <w:uiPriority w:val="9"/>
    <w:locked/>
    <w:rsid w:val="001B6C13"/>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1B6C13"/>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1B6C13"/>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1B6C13"/>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1B6C13"/>
    <w:pPr>
      <w:tabs>
        <w:tab w:val="left" w:pos="720"/>
      </w:tabs>
      <w:suppressAutoHyphens/>
      <w:spacing w:after="0"/>
    </w:pPr>
    <w:rPr>
      <w:rFonts w:cs="Times New Roman"/>
      <w:i/>
      <w:iCs/>
      <w:szCs w:val="24"/>
    </w:rPr>
  </w:style>
  <w:style w:type="paragraph" w:customStyle="1" w:styleId="SJITableText">
    <w:name w:val="SJI Table Text"/>
    <w:basedOn w:val="Normal"/>
    <w:qFormat/>
    <w:rsid w:val="001B6C13"/>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1B6C13"/>
    <w:pPr>
      <w:spacing w:before="220"/>
      <w:ind w:firstLine="0"/>
      <w:jc w:val="center"/>
    </w:pPr>
    <w:rPr>
      <w:rFonts w:cs="Courier New"/>
      <w:b/>
    </w:rPr>
  </w:style>
  <w:style w:type="table" w:customStyle="1" w:styleId="TableGrid1">
    <w:name w:val="Table Grid1"/>
    <w:basedOn w:val="TableNormal"/>
    <w:next w:val="TableGrid"/>
    <w:uiPriority w:val="99"/>
    <w:rsid w:val="001B6C13"/>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1B6C13"/>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1B6C13"/>
    <w:pPr>
      <w:widowControl w:val="0"/>
      <w:autoSpaceDE w:val="0"/>
      <w:autoSpaceDN w:val="0"/>
      <w:adjustRightInd w:val="0"/>
      <w:ind w:left="1296" w:hanging="576"/>
    </w:pPr>
    <w:rPr>
      <w:rFonts w:cs="Times New Roman"/>
    </w:rPr>
  </w:style>
  <w:style w:type="character" w:customStyle="1" w:styleId="SJIBold">
    <w:name w:val="SJI Bold"/>
    <w:uiPriority w:val="1"/>
    <w:qFormat/>
    <w:rsid w:val="001B6C13"/>
    <w:rPr>
      <w:b/>
    </w:rPr>
  </w:style>
  <w:style w:type="paragraph" w:customStyle="1" w:styleId="SJIText">
    <w:name w:val="SJI Text"/>
    <w:basedOn w:val="Normal"/>
    <w:next w:val="Normal"/>
    <w:qFormat/>
    <w:rsid w:val="001B6C13"/>
    <w:rPr>
      <w:rFonts w:cs="Times New Roman"/>
    </w:rPr>
  </w:style>
  <w:style w:type="paragraph" w:customStyle="1" w:styleId="SJITableTitle">
    <w:name w:val="SJI Table Title"/>
    <w:basedOn w:val="Normal"/>
    <w:qFormat/>
    <w:rsid w:val="001B6C13"/>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1B6C13"/>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1B6C13"/>
    <w:pPr>
      <w:numPr>
        <w:numId w:val="3"/>
      </w:numPr>
    </w:pPr>
    <w:rPr>
      <w:rFonts w:cs="Times New Roman"/>
    </w:rPr>
  </w:style>
  <w:style w:type="paragraph" w:styleId="ListParagraph">
    <w:name w:val="List Paragraph"/>
    <w:basedOn w:val="Normal"/>
    <w:uiPriority w:val="34"/>
    <w:qFormat/>
    <w:rsid w:val="001B6C13"/>
    <w:pPr>
      <w:ind w:left="720"/>
    </w:pPr>
  </w:style>
  <w:style w:type="paragraph" w:customStyle="1" w:styleId="SJITableNotation">
    <w:name w:val="SJI Table Notation"/>
    <w:basedOn w:val="SJITableText"/>
    <w:qFormat/>
    <w:rsid w:val="001B6C13"/>
    <w:pPr>
      <w:spacing w:before="120" w:after="240"/>
    </w:pPr>
  </w:style>
  <w:style w:type="character" w:customStyle="1" w:styleId="SJIUnderline">
    <w:name w:val="SJI Underline"/>
    <w:uiPriority w:val="1"/>
    <w:qFormat/>
    <w:rsid w:val="001B6C13"/>
    <w:rPr>
      <w:rFonts w:ascii="Times New Roman" w:hAnsi="Times New Roman"/>
      <w:sz w:val="28"/>
      <w:u w:val="single"/>
    </w:rPr>
  </w:style>
  <w:style w:type="paragraph" w:styleId="Caption">
    <w:name w:val="caption"/>
    <w:basedOn w:val="Normal"/>
    <w:next w:val="Normal"/>
    <w:uiPriority w:val="35"/>
    <w:semiHidden/>
    <w:unhideWhenUsed/>
    <w:qFormat/>
    <w:rsid w:val="001B6C13"/>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1B6C13"/>
    <w:pPr>
      <w:jc w:val="center"/>
    </w:pPr>
    <w:rPr>
      <w:rFonts w:cs="Times New Roman"/>
      <w:b/>
      <w:bCs/>
      <w:sz w:val="28"/>
      <w:szCs w:val="28"/>
    </w:rPr>
  </w:style>
  <w:style w:type="character" w:customStyle="1" w:styleId="TitleChar">
    <w:name w:val="Title Char"/>
    <w:basedOn w:val="DefaultParagraphFont"/>
    <w:link w:val="Title"/>
    <w:uiPriority w:val="10"/>
    <w:locked/>
    <w:rsid w:val="001B6C13"/>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1B6C13"/>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1B6C13"/>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1B6C13"/>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1B6C13"/>
    <w:rPr>
      <w:rFonts w:ascii="Bookman Old Style" w:hAnsi="Bookman Old Style" w:cs="Times New Roman"/>
      <w:color w:val="000000"/>
    </w:rPr>
  </w:style>
  <w:style w:type="paragraph" w:styleId="Quote">
    <w:name w:val="Quote"/>
    <w:basedOn w:val="Normal"/>
    <w:next w:val="Normal"/>
    <w:link w:val="QuoteChar"/>
    <w:uiPriority w:val="29"/>
    <w:qFormat/>
    <w:rsid w:val="001B6C13"/>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1B6C13"/>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1B6C13"/>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1B6C13"/>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1B6C13"/>
    <w:pPr>
      <w:outlineLvl w:val="9"/>
    </w:pPr>
    <w:rPr>
      <w:b w:val="0"/>
      <w:caps w:val="0"/>
      <w:sz w:val="32"/>
    </w:rPr>
  </w:style>
  <w:style w:type="numbering" w:customStyle="1" w:styleId="NumberandSubs">
    <w:name w:val="Number and Subs"/>
    <w:pPr>
      <w:numPr>
        <w:numId w:val="1"/>
      </w:numPr>
    </w:pPr>
  </w:style>
  <w:style w:type="character" w:styleId="Hyperlink">
    <w:name w:val="Hyperlink"/>
    <w:basedOn w:val="DefaultParagraphFont"/>
    <w:uiPriority w:val="99"/>
    <w:unhideWhenUsed/>
    <w:rsid w:val="005C774C"/>
    <w:rPr>
      <w:color w:val="0563C1" w:themeColor="hyperlink"/>
      <w:u w:val="single"/>
    </w:rPr>
  </w:style>
  <w:style w:type="character" w:styleId="UnresolvedMention">
    <w:name w:val="Unresolved Mention"/>
    <w:basedOn w:val="DefaultParagraphFont"/>
    <w:uiPriority w:val="99"/>
    <w:semiHidden/>
    <w:unhideWhenUsed/>
    <w:rsid w:val="005C7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590</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Susan</cp:lastModifiedBy>
  <cp:revision>3</cp:revision>
  <dcterms:created xsi:type="dcterms:W3CDTF">2023-12-16T00:04:00Z</dcterms:created>
  <dcterms:modified xsi:type="dcterms:W3CDTF">2023-12-18T14:14:00Z</dcterms:modified>
</cp:coreProperties>
</file>