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813D1" w14:textId="0EC79B83" w:rsidR="000058D2" w:rsidRPr="000058D2" w:rsidRDefault="000058D2" w:rsidP="000058D2">
      <w:pPr>
        <w:pStyle w:val="Heading3"/>
      </w:pPr>
      <w:r w:rsidRPr="000058D2">
        <w:t>3.3(</w:t>
      </w:r>
      <w:r w:rsidRPr="000058D2">
        <w:rPr>
          <w:caps w:val="0"/>
          <w:sz w:val="28"/>
          <w:szCs w:val="28"/>
        </w:rPr>
        <w:t>j</w:t>
      </w:r>
      <w:r w:rsidRPr="000058D2">
        <w:t>) AGGRAVATION OF TRAFFICKING IN [FENTANYL] [insert relevant controlled substance]</w:t>
      </w:r>
    </w:p>
    <w:p w14:paraId="0A7D2DBE" w14:textId="77777777" w:rsidR="000058D2" w:rsidRPr="000058D2" w:rsidRDefault="000058D2" w:rsidP="000058D2">
      <w:pPr>
        <w:spacing w:after="240" w:line="240" w:lineRule="auto"/>
        <w:ind w:firstLine="0"/>
        <w:jc w:val="center"/>
        <w:rPr>
          <w:rFonts w:cs="Times New Roman"/>
          <w:color w:val="000000"/>
          <w:sz w:val="24"/>
          <w:szCs w:val="24"/>
        </w:rPr>
      </w:pPr>
      <w:r w:rsidRPr="000058D2">
        <w:rPr>
          <w:rFonts w:cs="Times New Roman"/>
          <w:color w:val="000000"/>
          <w:sz w:val="24"/>
          <w:szCs w:val="24"/>
        </w:rPr>
        <w:t>§ 893.135(1)(c)</w:t>
      </w:r>
      <w:proofErr w:type="gramStart"/>
      <w:r w:rsidRPr="000058D2">
        <w:rPr>
          <w:rFonts w:cs="Times New Roman"/>
          <w:color w:val="000000"/>
          <w:sz w:val="24"/>
          <w:szCs w:val="24"/>
        </w:rPr>
        <w:t>4.c.</w:t>
      </w:r>
      <w:proofErr w:type="gramEnd"/>
      <w:r w:rsidRPr="000058D2">
        <w:rPr>
          <w:rFonts w:cs="Times New Roman"/>
          <w:color w:val="000000"/>
          <w:sz w:val="24"/>
          <w:szCs w:val="24"/>
        </w:rPr>
        <w:t>, Fla. Stat.</w:t>
      </w:r>
    </w:p>
    <w:p w14:paraId="7F508C50" w14:textId="77777777" w:rsidR="000058D2" w:rsidRPr="000058D2" w:rsidRDefault="000058D2" w:rsidP="000058D2">
      <w:pPr>
        <w:tabs>
          <w:tab w:val="left" w:pos="720"/>
        </w:tabs>
        <w:suppressAutoHyphens/>
        <w:rPr>
          <w:rFonts w:cs="Times New Roman"/>
          <w:color w:val="000000"/>
        </w:rPr>
      </w:pPr>
      <w:r w:rsidRPr="000058D2">
        <w:rPr>
          <w:rFonts w:cs="Times New Roman"/>
          <w:b/>
          <w:bCs/>
          <w:color w:val="000000"/>
        </w:rPr>
        <w:t>If you find that</w:t>
      </w:r>
      <w:r w:rsidRPr="000058D2">
        <w:rPr>
          <w:rFonts w:cs="Times New Roman"/>
          <w:color w:val="000000"/>
        </w:rPr>
        <w:t xml:space="preserve"> (defendant) </w:t>
      </w:r>
      <w:r w:rsidRPr="000058D2">
        <w:rPr>
          <w:rFonts w:cs="Times New Roman"/>
          <w:b/>
          <w:bCs/>
          <w:color w:val="000000"/>
        </w:rPr>
        <w:t>committed</w:t>
      </w:r>
      <w:r w:rsidRPr="000058D2">
        <w:rPr>
          <w:rFonts w:cs="Times New Roman"/>
          <w:color w:val="000000"/>
        </w:rPr>
        <w:t xml:space="preserve"> </w:t>
      </w:r>
      <w:r w:rsidRPr="000058D2">
        <w:rPr>
          <w:rFonts w:cs="Times New Roman"/>
          <w:b/>
          <w:bCs/>
          <w:color w:val="000000"/>
        </w:rPr>
        <w:t>Trafficking in [Fentanyl] [</w:t>
      </w:r>
      <w:r w:rsidRPr="000058D2">
        <w:rPr>
          <w:rFonts w:cs="Times New Roman"/>
          <w:color w:val="000000"/>
        </w:rPr>
        <w:t>(insert relevant substance listed in § 893.13(1)(i)</w:t>
      </w:r>
      <w:proofErr w:type="gramStart"/>
      <w:r w:rsidRPr="000058D2">
        <w:rPr>
          <w:rFonts w:cs="Times New Roman"/>
          <w:color w:val="000000"/>
        </w:rPr>
        <w:t>1</w:t>
      </w:r>
      <w:r w:rsidRPr="000058D2">
        <w:rPr>
          <w:rFonts w:cs="Times New Roman"/>
          <w:bCs/>
          <w:color w:val="000000"/>
        </w:rPr>
        <w:t>.a.</w:t>
      </w:r>
      <w:proofErr w:type="gramEnd"/>
      <w:r w:rsidRPr="000058D2">
        <w:rPr>
          <w:rFonts w:cs="Times New Roman"/>
          <w:bCs/>
          <w:color w:val="000000"/>
        </w:rPr>
        <w:t>-f., Fla. Stat.)</w:t>
      </w:r>
      <w:r w:rsidRPr="000058D2">
        <w:rPr>
          <w:rFonts w:cs="Times New Roman"/>
          <w:b/>
          <w:color w:val="000000"/>
        </w:rPr>
        <w:t xml:space="preserve">], </w:t>
      </w:r>
      <w:r w:rsidRPr="000058D2">
        <w:rPr>
          <w:rFonts w:cs="Times New Roman"/>
          <w:b/>
          <w:bCs/>
          <w:color w:val="000000"/>
        </w:rPr>
        <w:t>you must also determine whether the State proved the following six elements beyond a reasonable doubt:</w:t>
      </w:r>
    </w:p>
    <w:p w14:paraId="5023E567" w14:textId="77777777" w:rsidR="000058D2" w:rsidRPr="000058D2" w:rsidRDefault="000058D2" w:rsidP="000058D2">
      <w:pPr>
        <w:numPr>
          <w:ilvl w:val="0"/>
          <w:numId w:val="4"/>
        </w:numPr>
        <w:ind w:left="1296" w:right="288" w:hanging="576"/>
        <w:rPr>
          <w:rFonts w:cs="Times New Roman"/>
          <w:b/>
          <w:color w:val="000000"/>
        </w:rPr>
      </w:pPr>
      <w:r w:rsidRPr="000058D2">
        <w:rPr>
          <w:rFonts w:cs="Times New Roman"/>
          <w:bCs/>
          <w:color w:val="000000"/>
        </w:rPr>
        <w:t>(Defendant)</w:t>
      </w:r>
      <w:r w:rsidRPr="000058D2">
        <w:rPr>
          <w:rFonts w:cs="Times New Roman"/>
          <w:b/>
          <w:color w:val="000000"/>
        </w:rPr>
        <w:t xml:space="preserve"> knowingly sold or delivered</w:t>
      </w:r>
      <w:r w:rsidRPr="000058D2">
        <w:rPr>
          <w:rFonts w:cs="Times New Roman"/>
          <w:b/>
          <w:bCs/>
          <w:color w:val="000000"/>
        </w:rPr>
        <w:t xml:space="preserve"> [</w:t>
      </w:r>
      <w:r w:rsidRPr="000058D2">
        <w:rPr>
          <w:rFonts w:cs="Times New Roman"/>
          <w:color w:val="000000"/>
        </w:rPr>
        <w:t>(insert relevant substance listed in § 893.13(1)(i)</w:t>
      </w:r>
      <w:proofErr w:type="gramStart"/>
      <w:r w:rsidRPr="000058D2">
        <w:rPr>
          <w:rFonts w:cs="Times New Roman"/>
          <w:color w:val="000000"/>
        </w:rPr>
        <w:t>1.a.</w:t>
      </w:r>
      <w:proofErr w:type="gramEnd"/>
      <w:r w:rsidRPr="000058D2">
        <w:rPr>
          <w:rFonts w:cs="Times New Roman"/>
          <w:color w:val="000000"/>
        </w:rPr>
        <w:t>-f., Fla. Stat.)</w:t>
      </w:r>
      <w:r w:rsidRPr="000058D2">
        <w:rPr>
          <w:rFonts w:cs="Times New Roman"/>
          <w:b/>
          <w:bCs/>
          <w:color w:val="000000"/>
        </w:rPr>
        <w:t>]</w:t>
      </w:r>
      <w:r w:rsidRPr="000058D2">
        <w:rPr>
          <w:rFonts w:cs="Times New Roman"/>
          <w:color w:val="000000"/>
        </w:rPr>
        <w:t xml:space="preserve"> </w:t>
      </w:r>
      <w:r w:rsidRPr="000058D2">
        <w:rPr>
          <w:rFonts w:cs="Times New Roman"/>
          <w:b/>
          <w:bCs/>
          <w:color w:val="000000"/>
        </w:rPr>
        <w:t xml:space="preserve">[a mixture containing </w:t>
      </w:r>
      <w:r w:rsidRPr="000058D2">
        <w:rPr>
          <w:rFonts w:cs="Times New Roman"/>
          <w:color w:val="000000"/>
        </w:rPr>
        <w:t>(insert relevant substance listed in § 893.13(1)(i)1.a.-f., Fla. Stat.)</w:t>
      </w:r>
      <w:r w:rsidRPr="000058D2">
        <w:rPr>
          <w:rFonts w:cs="Times New Roman"/>
          <w:b/>
          <w:bCs/>
          <w:color w:val="000000"/>
        </w:rPr>
        <w:t>].</w:t>
      </w:r>
    </w:p>
    <w:p w14:paraId="0C248281" w14:textId="77777777" w:rsidR="000058D2" w:rsidRPr="000058D2" w:rsidRDefault="000058D2" w:rsidP="000058D2">
      <w:pPr>
        <w:numPr>
          <w:ilvl w:val="0"/>
          <w:numId w:val="4"/>
        </w:numPr>
        <w:ind w:left="1296" w:right="288" w:hanging="576"/>
        <w:rPr>
          <w:rFonts w:cs="Times New Roman"/>
          <w:b/>
          <w:color w:val="000000"/>
        </w:rPr>
      </w:pPr>
      <w:r w:rsidRPr="000058D2">
        <w:rPr>
          <w:rFonts w:cs="Times New Roman"/>
          <w:b/>
          <w:color w:val="000000"/>
        </w:rPr>
        <w:t xml:space="preserve">At the time of the sale or delivery, </w:t>
      </w:r>
      <w:r w:rsidRPr="000058D2">
        <w:rPr>
          <w:rFonts w:cs="Times New Roman"/>
          <w:bCs/>
          <w:color w:val="000000"/>
        </w:rPr>
        <w:t>(defendant)</w:t>
      </w:r>
      <w:r w:rsidRPr="000058D2">
        <w:rPr>
          <w:rFonts w:cs="Times New Roman"/>
          <w:b/>
          <w:color w:val="000000"/>
        </w:rPr>
        <w:t xml:space="preserve"> was 18 years of age or older.</w:t>
      </w:r>
    </w:p>
    <w:p w14:paraId="6FAF396C" w14:textId="77777777" w:rsidR="000058D2" w:rsidRPr="000058D2" w:rsidRDefault="000058D2" w:rsidP="000058D2">
      <w:pPr>
        <w:numPr>
          <w:ilvl w:val="0"/>
          <w:numId w:val="4"/>
        </w:numPr>
        <w:ind w:left="1296" w:right="288" w:hanging="576"/>
        <w:rPr>
          <w:rFonts w:cs="Times New Roman"/>
          <w:color w:val="000000"/>
        </w:rPr>
      </w:pPr>
      <w:r w:rsidRPr="000058D2">
        <w:rPr>
          <w:rFonts w:cs="Times New Roman"/>
          <w:b/>
          <w:bCs/>
          <w:color w:val="000000"/>
        </w:rPr>
        <w:t>The sale or delivery was to a person less than 18 years of age.</w:t>
      </w:r>
    </w:p>
    <w:p w14:paraId="303AC4AB" w14:textId="77777777" w:rsidR="000058D2" w:rsidRPr="000058D2" w:rsidRDefault="000058D2" w:rsidP="000058D2">
      <w:pPr>
        <w:numPr>
          <w:ilvl w:val="0"/>
          <w:numId w:val="4"/>
        </w:numPr>
        <w:ind w:left="1296" w:right="288" w:hanging="576"/>
        <w:rPr>
          <w:rFonts w:cs="Times New Roman"/>
          <w:color w:val="000000"/>
        </w:rPr>
      </w:pPr>
      <w:r w:rsidRPr="000058D2">
        <w:rPr>
          <w:rFonts w:cs="Times New Roman"/>
          <w:b/>
          <w:bCs/>
          <w:color w:val="000000"/>
        </w:rPr>
        <w:t xml:space="preserve">At the time of the sale or delivery, </w:t>
      </w:r>
      <w:r w:rsidRPr="000058D2">
        <w:rPr>
          <w:rFonts w:cs="Times New Roman"/>
          <w:color w:val="000000"/>
        </w:rPr>
        <w:t xml:space="preserve">(defendant) </w:t>
      </w:r>
      <w:r w:rsidRPr="000058D2">
        <w:rPr>
          <w:rFonts w:cs="Times New Roman"/>
          <w:b/>
          <w:bCs/>
          <w:color w:val="000000"/>
        </w:rPr>
        <w:t>knew that the person that [he] [she] sold or delivered the [</w:t>
      </w:r>
      <w:r w:rsidRPr="000058D2">
        <w:rPr>
          <w:rFonts w:cs="Times New Roman"/>
          <w:color w:val="000000"/>
        </w:rPr>
        <w:t>(insert relevant substance listed in § 893.13(1)(i)</w:t>
      </w:r>
      <w:proofErr w:type="gramStart"/>
      <w:r w:rsidRPr="000058D2">
        <w:rPr>
          <w:rFonts w:cs="Times New Roman"/>
          <w:color w:val="000000"/>
        </w:rPr>
        <w:t>1.a.</w:t>
      </w:r>
      <w:proofErr w:type="gramEnd"/>
      <w:r w:rsidRPr="000058D2">
        <w:rPr>
          <w:rFonts w:cs="Times New Roman"/>
          <w:color w:val="000000"/>
        </w:rPr>
        <w:t>-f., Fla. Stat.)</w:t>
      </w:r>
      <w:r w:rsidRPr="000058D2">
        <w:rPr>
          <w:rFonts w:cs="Times New Roman"/>
          <w:b/>
          <w:bCs/>
          <w:color w:val="000000"/>
        </w:rPr>
        <w:t>]</w:t>
      </w:r>
      <w:r w:rsidRPr="000058D2">
        <w:rPr>
          <w:rFonts w:cs="Times New Roman"/>
          <w:color w:val="000000"/>
        </w:rPr>
        <w:t xml:space="preserve"> </w:t>
      </w:r>
      <w:r w:rsidRPr="000058D2">
        <w:rPr>
          <w:rFonts w:cs="Times New Roman"/>
          <w:b/>
          <w:bCs/>
          <w:color w:val="000000"/>
        </w:rPr>
        <w:t xml:space="preserve">[a mixture containing </w:t>
      </w:r>
      <w:r w:rsidRPr="000058D2">
        <w:rPr>
          <w:rFonts w:cs="Times New Roman"/>
          <w:color w:val="000000"/>
        </w:rPr>
        <w:t>(insert relevant substance listed in § 893.13(1)(i)1.a.-f., Fla. Stat.)</w:t>
      </w:r>
      <w:r w:rsidRPr="000058D2">
        <w:rPr>
          <w:rFonts w:cs="Times New Roman"/>
          <w:b/>
          <w:bCs/>
          <w:color w:val="000000"/>
        </w:rPr>
        <w:t xml:space="preserve">] to was less than 18 years of age. </w:t>
      </w:r>
    </w:p>
    <w:p w14:paraId="5997A544" w14:textId="77777777" w:rsidR="000058D2" w:rsidRPr="000058D2" w:rsidRDefault="000058D2" w:rsidP="000058D2">
      <w:pPr>
        <w:numPr>
          <w:ilvl w:val="0"/>
          <w:numId w:val="4"/>
        </w:numPr>
        <w:ind w:left="1296" w:right="288" w:hanging="576"/>
        <w:rPr>
          <w:rFonts w:cs="Times New Roman"/>
          <w:color w:val="000000"/>
        </w:rPr>
      </w:pPr>
      <w:r w:rsidRPr="000058D2">
        <w:rPr>
          <w:rFonts w:cs="Times New Roman"/>
          <w:b/>
          <w:bCs/>
          <w:color w:val="000000"/>
        </w:rPr>
        <w:t>The [</w:t>
      </w:r>
      <w:r w:rsidRPr="000058D2">
        <w:rPr>
          <w:rFonts w:cs="Times New Roman"/>
          <w:color w:val="000000"/>
        </w:rPr>
        <w:t>(insert relevant substance listed in § 893.13(1)(i)</w:t>
      </w:r>
      <w:proofErr w:type="gramStart"/>
      <w:r w:rsidRPr="000058D2">
        <w:rPr>
          <w:rFonts w:cs="Times New Roman"/>
          <w:color w:val="000000"/>
        </w:rPr>
        <w:t>1.a.</w:t>
      </w:r>
      <w:proofErr w:type="gramEnd"/>
      <w:r w:rsidRPr="000058D2">
        <w:rPr>
          <w:rFonts w:cs="Times New Roman"/>
          <w:color w:val="000000"/>
        </w:rPr>
        <w:t>-f., Fla. Stat.)</w:t>
      </w:r>
      <w:r w:rsidRPr="000058D2">
        <w:rPr>
          <w:rFonts w:cs="Times New Roman"/>
          <w:b/>
          <w:bCs/>
          <w:color w:val="000000"/>
        </w:rPr>
        <w:t>]</w:t>
      </w:r>
      <w:r w:rsidRPr="000058D2">
        <w:rPr>
          <w:rFonts w:cs="Times New Roman"/>
          <w:color w:val="000000"/>
        </w:rPr>
        <w:t xml:space="preserve"> </w:t>
      </w:r>
      <w:r w:rsidRPr="000058D2">
        <w:rPr>
          <w:rFonts w:cs="Times New Roman"/>
          <w:b/>
          <w:bCs/>
          <w:color w:val="000000"/>
        </w:rPr>
        <w:t xml:space="preserve">[mixture containing </w:t>
      </w:r>
      <w:r w:rsidRPr="000058D2">
        <w:rPr>
          <w:rFonts w:cs="Times New Roman"/>
          <w:color w:val="000000"/>
        </w:rPr>
        <w:t>(insert relevant substance listed in § 893.13(1)(i)1.a.-f., Fla. Stat.)</w:t>
      </w:r>
      <w:r w:rsidRPr="000058D2">
        <w:rPr>
          <w:rFonts w:cs="Times New Roman"/>
          <w:b/>
          <w:bCs/>
          <w:color w:val="000000"/>
        </w:rPr>
        <w:t>] sold or delivered by the defendant weighed 4 grams or more.</w:t>
      </w:r>
    </w:p>
    <w:p w14:paraId="29AC170B" w14:textId="77777777" w:rsidR="000058D2" w:rsidRPr="000058D2" w:rsidRDefault="000058D2" w:rsidP="000058D2">
      <w:pPr>
        <w:numPr>
          <w:ilvl w:val="0"/>
          <w:numId w:val="4"/>
        </w:numPr>
        <w:ind w:left="1296" w:right="288" w:hanging="576"/>
        <w:rPr>
          <w:rFonts w:cs="Times New Roman"/>
          <w:b/>
          <w:color w:val="000000"/>
        </w:rPr>
      </w:pPr>
      <w:r w:rsidRPr="000058D2">
        <w:rPr>
          <w:rFonts w:cs="Times New Roman"/>
          <w:b/>
          <w:color w:val="000000"/>
        </w:rPr>
        <w:t xml:space="preserve">The substance or mixture sold or delivered by the defendant was in a form that resembled, or was mixed, granulated, absorbed, spray-dried, or aerosolized as or onto, coated on, in whole or in part, or solubilized with or into, a product, when such product or </w:t>
      </w:r>
      <w:proofErr w:type="gramStart"/>
      <w:r w:rsidRPr="000058D2">
        <w:rPr>
          <w:rFonts w:cs="Times New Roman"/>
          <w:b/>
          <w:color w:val="000000"/>
        </w:rPr>
        <w:t>its</w:t>
      </w:r>
      <w:proofErr w:type="gramEnd"/>
      <w:r w:rsidRPr="000058D2">
        <w:rPr>
          <w:rFonts w:cs="Times New Roman"/>
          <w:b/>
          <w:color w:val="000000"/>
        </w:rPr>
        <w:t xml:space="preserve"> packaging further had at least one of the following attributes:</w:t>
      </w:r>
    </w:p>
    <w:p w14:paraId="49FCC5B4" w14:textId="77777777" w:rsidR="000058D2" w:rsidRPr="000058D2" w:rsidRDefault="000058D2" w:rsidP="000058D2">
      <w:pPr>
        <w:numPr>
          <w:ilvl w:val="1"/>
          <w:numId w:val="4"/>
        </w:numPr>
        <w:ind w:left="1728" w:right="288"/>
        <w:rPr>
          <w:rFonts w:cs="Times New Roman"/>
          <w:b/>
          <w:bCs/>
          <w:color w:val="000000"/>
        </w:rPr>
      </w:pPr>
      <w:r w:rsidRPr="000058D2">
        <w:rPr>
          <w:rFonts w:cs="Times New Roman"/>
          <w:b/>
          <w:bCs/>
          <w:color w:val="000000"/>
        </w:rPr>
        <w:t>Resembled the trade dress of a branded food product, consumer food product, or logo food product; or,</w:t>
      </w:r>
    </w:p>
    <w:p w14:paraId="013979E3" w14:textId="77777777" w:rsidR="000058D2" w:rsidRPr="000058D2" w:rsidRDefault="000058D2" w:rsidP="000058D2">
      <w:pPr>
        <w:numPr>
          <w:ilvl w:val="1"/>
          <w:numId w:val="4"/>
        </w:numPr>
        <w:ind w:left="1728" w:right="288"/>
        <w:rPr>
          <w:rFonts w:cs="Times New Roman"/>
          <w:b/>
          <w:bCs/>
          <w:color w:val="000000"/>
        </w:rPr>
      </w:pPr>
      <w:r w:rsidRPr="000058D2">
        <w:rPr>
          <w:rFonts w:cs="Times New Roman"/>
          <w:b/>
          <w:bCs/>
          <w:color w:val="000000"/>
        </w:rPr>
        <w:t xml:space="preserve">Incorporated an actual or fake registered copyright, service mark, or trademark; or, </w:t>
      </w:r>
    </w:p>
    <w:p w14:paraId="1505B7BC" w14:textId="77777777" w:rsidR="000058D2" w:rsidRPr="000058D2" w:rsidRDefault="000058D2" w:rsidP="000058D2">
      <w:pPr>
        <w:numPr>
          <w:ilvl w:val="1"/>
          <w:numId w:val="4"/>
        </w:numPr>
        <w:ind w:left="1728" w:right="288"/>
        <w:rPr>
          <w:rFonts w:cs="Times New Roman"/>
          <w:b/>
          <w:bCs/>
          <w:color w:val="000000"/>
        </w:rPr>
      </w:pPr>
      <w:r w:rsidRPr="000058D2">
        <w:rPr>
          <w:rFonts w:cs="Times New Roman"/>
          <w:b/>
          <w:bCs/>
          <w:color w:val="000000"/>
        </w:rPr>
        <w:t>Resembled candy, cereal, a gummy, a vitamin, or a chewable product, such as a gum or gelatin-based product; or,</w:t>
      </w:r>
    </w:p>
    <w:p w14:paraId="1766589B" w14:textId="77777777" w:rsidR="000058D2" w:rsidRPr="000058D2" w:rsidRDefault="000058D2" w:rsidP="000058D2">
      <w:pPr>
        <w:numPr>
          <w:ilvl w:val="1"/>
          <w:numId w:val="4"/>
        </w:numPr>
        <w:ind w:left="1728" w:right="288"/>
        <w:rPr>
          <w:rFonts w:cs="Times New Roman"/>
          <w:b/>
          <w:bCs/>
          <w:color w:val="000000"/>
        </w:rPr>
      </w:pPr>
      <w:r w:rsidRPr="000058D2">
        <w:rPr>
          <w:rFonts w:cs="Times New Roman"/>
          <w:b/>
          <w:bCs/>
          <w:color w:val="000000"/>
        </w:rPr>
        <w:t>Contained a cartoon character imprint.</w:t>
      </w:r>
    </w:p>
    <w:p w14:paraId="4C61DEDA" w14:textId="77777777" w:rsidR="000058D2" w:rsidRPr="000058D2" w:rsidRDefault="000058D2" w:rsidP="000058D2">
      <w:pPr>
        <w:spacing w:after="0"/>
        <w:rPr>
          <w:rFonts w:cs="Times New Roman"/>
          <w:bCs/>
          <w:i/>
          <w:iCs/>
          <w:color w:val="000000"/>
        </w:rPr>
      </w:pPr>
      <w:r w:rsidRPr="000058D2">
        <w:rPr>
          <w:rFonts w:cs="Times New Roman"/>
          <w:bCs/>
          <w:i/>
          <w:iCs/>
          <w:color w:val="000000"/>
        </w:rPr>
        <w:t>Definitions. § 893.02, Fla. Stat. Give if applicable.</w:t>
      </w:r>
    </w:p>
    <w:p w14:paraId="61AF3DA7" w14:textId="77777777" w:rsidR="000058D2" w:rsidRPr="000058D2" w:rsidRDefault="000058D2" w:rsidP="000058D2">
      <w:pPr>
        <w:rPr>
          <w:rFonts w:cs="Times New Roman"/>
          <w:b/>
          <w:color w:val="000000"/>
        </w:rPr>
      </w:pPr>
      <w:r w:rsidRPr="000058D2">
        <w:rPr>
          <w:rFonts w:cs="Times New Roman"/>
          <w:b/>
          <w:color w:val="000000"/>
        </w:rPr>
        <w:t xml:space="preserve">“Mixture” means any physical combination of two or more substances, including, but not limited to, a blend, an aggregation, a suspension, an emulsion, a solution, or a dosage unit, </w:t>
      </w:r>
      <w:proofErr w:type="gramStart"/>
      <w:r w:rsidRPr="000058D2">
        <w:rPr>
          <w:rFonts w:cs="Times New Roman"/>
          <w:b/>
          <w:color w:val="000000"/>
        </w:rPr>
        <w:t>whether or not</w:t>
      </w:r>
      <w:proofErr w:type="gramEnd"/>
      <w:r w:rsidRPr="000058D2">
        <w:rPr>
          <w:rFonts w:cs="Times New Roman"/>
          <w:b/>
          <w:color w:val="000000"/>
        </w:rPr>
        <w:t xml:space="preserve"> such combination can be separated into its components by physical means, whether mechanical or thermal.</w:t>
      </w:r>
    </w:p>
    <w:p w14:paraId="1ADD19C5" w14:textId="77777777" w:rsidR="000058D2" w:rsidRPr="000058D2" w:rsidRDefault="000058D2" w:rsidP="000058D2">
      <w:pPr>
        <w:rPr>
          <w:rFonts w:cs="Times New Roman"/>
          <w:b/>
          <w:color w:val="000000"/>
        </w:rPr>
      </w:pPr>
      <w:r w:rsidRPr="000058D2">
        <w:rPr>
          <w:rFonts w:cs="Times New Roman"/>
          <w:b/>
          <w:color w:val="000000"/>
        </w:rPr>
        <w:t>“Sell” means to transfer or deliver something to another person in exchange for money or something of value or a promise of money or something of value.</w:t>
      </w:r>
    </w:p>
    <w:p w14:paraId="2F3255D6" w14:textId="77777777" w:rsidR="000058D2" w:rsidRPr="000058D2" w:rsidRDefault="000058D2" w:rsidP="000058D2">
      <w:pPr>
        <w:spacing w:before="220"/>
        <w:rPr>
          <w:rFonts w:cs="Courier New"/>
          <w:b/>
          <w:color w:val="000000"/>
        </w:rPr>
      </w:pPr>
      <w:r w:rsidRPr="000058D2">
        <w:rPr>
          <w:rFonts w:cs="Courier New"/>
          <w:b/>
          <w:color w:val="000000"/>
        </w:rPr>
        <w:t xml:space="preserve">“Delivery” means the actual, constructive, or attempted transfer from one person to another of a controlled substance, </w:t>
      </w:r>
      <w:proofErr w:type="gramStart"/>
      <w:r w:rsidRPr="000058D2">
        <w:rPr>
          <w:rFonts w:cs="Courier New"/>
          <w:b/>
          <w:color w:val="000000"/>
        </w:rPr>
        <w:t>whether or not</w:t>
      </w:r>
      <w:proofErr w:type="gramEnd"/>
      <w:r w:rsidRPr="000058D2">
        <w:rPr>
          <w:rFonts w:cs="Courier New"/>
          <w:b/>
          <w:color w:val="000000"/>
        </w:rPr>
        <w:t xml:space="preserve"> there is an agency relationship. </w:t>
      </w:r>
    </w:p>
    <w:p w14:paraId="3913C038" w14:textId="77777777" w:rsidR="000058D2" w:rsidRPr="000058D2" w:rsidRDefault="000058D2" w:rsidP="000058D2">
      <w:pPr>
        <w:pStyle w:val="SJIComments"/>
      </w:pPr>
      <w:r w:rsidRPr="000058D2">
        <w:t>Comment</w:t>
      </w:r>
    </w:p>
    <w:p w14:paraId="7716F0D4" w14:textId="3033F10B" w:rsidR="008835B0" w:rsidRPr="000058D2" w:rsidRDefault="000058D2" w:rsidP="000058D2">
      <w:pPr>
        <w:spacing w:before="220"/>
      </w:pPr>
      <w:r w:rsidRPr="000058D2">
        <w:rPr>
          <w:rFonts w:cs="Courier New"/>
          <w:bCs/>
          <w:color w:val="000000"/>
        </w:rPr>
        <w:t xml:space="preserve">The instruction was adopted on March 8, 2024. </w:t>
      </w:r>
    </w:p>
    <w:sectPr w:rsidR="008835B0" w:rsidRPr="00005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21E4"/>
    <w:multiLevelType w:val="hybridMultilevel"/>
    <w:tmpl w:val="5B589F8E"/>
    <w:lvl w:ilvl="0" w:tplc="B23ACFC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AF641E6A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443B5531"/>
    <w:multiLevelType w:val="hybridMultilevel"/>
    <w:tmpl w:val="24E4B73C"/>
    <w:lvl w:ilvl="0" w:tplc="F4B8CE5C">
      <w:start w:val="1"/>
      <w:numFmt w:val="lowerLetter"/>
      <w:lvlText w:val="%1."/>
      <w:lvlJc w:val="left"/>
      <w:pPr>
        <w:ind w:left="17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259264466">
    <w:abstractNumId w:val="3"/>
  </w:num>
  <w:num w:numId="2" w16cid:durableId="487941309">
    <w:abstractNumId w:val="1"/>
  </w:num>
  <w:num w:numId="3" w16cid:durableId="97649699">
    <w:abstractNumId w:val="1"/>
  </w:num>
  <w:num w:numId="4" w16cid:durableId="1862628267">
    <w:abstractNumId w:val="0"/>
  </w:num>
  <w:num w:numId="5" w16cid:durableId="1489974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94"/>
    <w:rsid w:val="000058D2"/>
    <w:rsid w:val="0018642F"/>
    <w:rsid w:val="00255DF1"/>
    <w:rsid w:val="00275CB7"/>
    <w:rsid w:val="00276059"/>
    <w:rsid w:val="00280748"/>
    <w:rsid w:val="00293A1D"/>
    <w:rsid w:val="003E05DE"/>
    <w:rsid w:val="00411B94"/>
    <w:rsid w:val="00416788"/>
    <w:rsid w:val="0043143F"/>
    <w:rsid w:val="00515860"/>
    <w:rsid w:val="00540801"/>
    <w:rsid w:val="00627AD2"/>
    <w:rsid w:val="00720C12"/>
    <w:rsid w:val="007D1EBA"/>
    <w:rsid w:val="007F6D1D"/>
    <w:rsid w:val="008835B0"/>
    <w:rsid w:val="00904FE9"/>
    <w:rsid w:val="009435D1"/>
    <w:rsid w:val="009A6158"/>
    <w:rsid w:val="00A039D5"/>
    <w:rsid w:val="00A71FAD"/>
    <w:rsid w:val="00B76DAF"/>
    <w:rsid w:val="00C02262"/>
    <w:rsid w:val="00C10605"/>
    <w:rsid w:val="00C22697"/>
    <w:rsid w:val="00C816EE"/>
    <w:rsid w:val="00C84D68"/>
    <w:rsid w:val="00CC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89A62B"/>
  <w14:defaultImageDpi w14:val="0"/>
  <w15:docId w15:val="{942413F2-B250-426D-B999-EAE7E78D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B94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B94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1B94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1B94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411B94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411B94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11B94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411B94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411B94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11B94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11B94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411B94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411B94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411B94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411B9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411B94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411B94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411B94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411B94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SJIBold">
    <w:name w:val="SJI Bold"/>
    <w:uiPriority w:val="1"/>
    <w:qFormat/>
    <w:rsid w:val="00411B94"/>
    <w:rPr>
      <w:b/>
    </w:rPr>
  </w:style>
  <w:style w:type="paragraph" w:customStyle="1" w:styleId="SJIStatuteinTitle">
    <w:name w:val="SJI Statute in Title"/>
    <w:basedOn w:val="Normal"/>
    <w:qFormat/>
    <w:rsid w:val="00411B94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411B94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Comments">
    <w:name w:val="SJI Comments"/>
    <w:basedOn w:val="Normal"/>
    <w:qFormat/>
    <w:rsid w:val="00411B94"/>
    <w:pPr>
      <w:spacing w:before="220"/>
      <w:ind w:firstLine="0"/>
      <w:jc w:val="center"/>
    </w:pPr>
    <w:rPr>
      <w:rFonts w:cs="Courier New"/>
      <w:b/>
    </w:rPr>
  </w:style>
  <w:style w:type="paragraph" w:customStyle="1" w:styleId="SJIlist1">
    <w:name w:val="SJI list 1"/>
    <w:basedOn w:val="Normal"/>
    <w:qFormat/>
    <w:rsid w:val="00411B94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paragraph" w:customStyle="1" w:styleId="SJIText">
    <w:name w:val="SJI Text"/>
    <w:basedOn w:val="Normal"/>
    <w:next w:val="Normal"/>
    <w:qFormat/>
    <w:rsid w:val="00411B94"/>
    <w:rPr>
      <w:rFonts w:cs="Times New Roman"/>
    </w:rPr>
  </w:style>
  <w:style w:type="paragraph" w:customStyle="1" w:styleId="SJITableText">
    <w:name w:val="SJI Table Text"/>
    <w:basedOn w:val="Normal"/>
    <w:qFormat/>
    <w:rsid w:val="00411B94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411B94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411B94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411B94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411B94"/>
    <w:pPr>
      <w:ind w:left="720"/>
    </w:pPr>
  </w:style>
  <w:style w:type="paragraph" w:customStyle="1" w:styleId="SJITableNotation">
    <w:name w:val="SJI Table Notation"/>
    <w:basedOn w:val="SJITableText"/>
    <w:qFormat/>
    <w:rsid w:val="00411B94"/>
    <w:pPr>
      <w:spacing w:before="120" w:after="240"/>
    </w:pPr>
  </w:style>
  <w:style w:type="character" w:customStyle="1" w:styleId="SJIUnderline">
    <w:name w:val="SJI Underline"/>
    <w:uiPriority w:val="1"/>
    <w:qFormat/>
    <w:rsid w:val="00411B94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1B94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411B94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411B94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411B94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B94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411B94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11B94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411B94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411B94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B9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411B94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1B94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6</cp:revision>
  <dcterms:created xsi:type="dcterms:W3CDTF">2024-01-03T16:12:00Z</dcterms:created>
  <dcterms:modified xsi:type="dcterms:W3CDTF">2024-03-12T16:27:00Z</dcterms:modified>
</cp:coreProperties>
</file>