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638A" w14:textId="77777777" w:rsidR="00A86A89" w:rsidRPr="00A86A89" w:rsidRDefault="00A86A89" w:rsidP="00A86A89">
      <w:pPr>
        <w:jc w:val="center"/>
        <w:outlineLvl w:val="2"/>
        <w:rPr>
          <w:rFonts w:ascii="Bookman Old Style" w:eastAsia="Calibri" w:hAnsi="Bookman Old Style"/>
          <w:b/>
          <w:bCs/>
          <w:iCs/>
          <w:caps/>
          <w:szCs w:val="24"/>
        </w:rPr>
      </w:pPr>
      <w:r w:rsidRPr="00A86A89">
        <w:rPr>
          <w:rFonts w:ascii="Bookman Old Style" w:eastAsia="Calibri" w:hAnsi="Bookman Old Style"/>
          <w:b/>
          <w:bCs/>
          <w:iCs/>
          <w:caps/>
          <w:szCs w:val="24"/>
        </w:rPr>
        <w:t>29.8 PRACTICING LAW WITHOUT A LICENSE</w:t>
      </w:r>
    </w:p>
    <w:p w14:paraId="43047DA0" w14:textId="77777777" w:rsidR="00A86A89" w:rsidRPr="00A86A89" w:rsidRDefault="00A86A89" w:rsidP="00A86A89">
      <w:pPr>
        <w:spacing w:after="240"/>
        <w:jc w:val="center"/>
        <w:rPr>
          <w:rFonts w:ascii="Bookman Old Style" w:eastAsia="Calibri" w:hAnsi="Bookman Old Style"/>
          <w:szCs w:val="24"/>
        </w:rPr>
      </w:pPr>
      <w:r w:rsidRPr="00A86A89">
        <w:rPr>
          <w:rFonts w:ascii="Bookman Old Style" w:eastAsia="Calibri" w:hAnsi="Bookman Old Style"/>
          <w:szCs w:val="24"/>
        </w:rPr>
        <w:t>§ 454.23, Fla. Stat.</w:t>
      </w:r>
    </w:p>
    <w:p w14:paraId="1E542A76" w14:textId="77777777" w:rsidR="00A86A89" w:rsidRPr="00A86A89" w:rsidRDefault="00A86A89" w:rsidP="00A86A89">
      <w:pPr>
        <w:spacing w:after="220" w:line="259" w:lineRule="auto"/>
        <w:ind w:firstLine="720"/>
        <w:rPr>
          <w:rFonts w:ascii="Bookman Old Style" w:eastAsia="Calibri" w:hAnsi="Bookman Old Style" w:cs="Calibri"/>
          <w:b/>
          <w:bCs/>
          <w:sz w:val="22"/>
          <w:szCs w:val="22"/>
        </w:rPr>
      </w:pPr>
      <w:r w:rsidRPr="00A86A89">
        <w:rPr>
          <w:rFonts w:ascii="Bookman Old Style" w:eastAsia="Calibri" w:hAnsi="Bookman Old Style" w:cs="Calibri"/>
          <w:b/>
          <w:bCs/>
          <w:sz w:val="22"/>
          <w:szCs w:val="22"/>
        </w:rPr>
        <w:t>To prove the crime of Practicing Law Without a License, the State must prove the following two elements beyond a reasonable doubt:</w:t>
      </w:r>
    </w:p>
    <w:p w14:paraId="1DEDA159" w14:textId="77777777" w:rsidR="00A86A89" w:rsidRPr="00A86A89" w:rsidRDefault="00A86A89" w:rsidP="00A86A89">
      <w:pPr>
        <w:numPr>
          <w:ilvl w:val="0"/>
          <w:numId w:val="4"/>
        </w:numPr>
        <w:spacing w:after="220" w:line="259" w:lineRule="auto"/>
        <w:ind w:left="1296" w:hanging="576"/>
        <w:rPr>
          <w:rFonts w:ascii="Bookman Old Style" w:eastAsia="Calibri" w:hAnsi="Bookman Old Style" w:cs="Calibri"/>
          <w:b/>
          <w:bCs/>
          <w:sz w:val="22"/>
          <w:szCs w:val="22"/>
        </w:rPr>
      </w:pPr>
      <w:r w:rsidRPr="00A86A89">
        <w:rPr>
          <w:rFonts w:ascii="Bookman Old Style" w:eastAsia="Calibri" w:hAnsi="Bookman Old Style" w:cs="Calibri"/>
          <w:sz w:val="22"/>
          <w:szCs w:val="22"/>
        </w:rPr>
        <w:t xml:space="preserve">(Defendant) </w:t>
      </w:r>
      <w:r w:rsidRPr="00A86A89">
        <w:rPr>
          <w:rFonts w:ascii="Bookman Old Style" w:eastAsia="Calibri" w:hAnsi="Bookman Old Style" w:cs="Calibri"/>
          <w:b/>
          <w:bCs/>
          <w:sz w:val="22"/>
          <w:szCs w:val="22"/>
        </w:rPr>
        <w:t>[practiced law] [or] [held [himself] [herself] out to the public as qualified to practice law in Florida] [or] [willfully pretended to be qualified to practice law in Florida] [or] [willfully took or used any name, title, addition, or description implying that [he] [she] was qualified, or recognized by law as qualified, to practice law in Florida].</w:t>
      </w:r>
    </w:p>
    <w:p w14:paraId="40539AD0" w14:textId="77777777" w:rsidR="00A86A89" w:rsidRPr="00A86A89" w:rsidRDefault="00A86A89" w:rsidP="00A86A89">
      <w:pPr>
        <w:numPr>
          <w:ilvl w:val="0"/>
          <w:numId w:val="4"/>
        </w:numPr>
        <w:spacing w:after="220" w:line="259" w:lineRule="auto"/>
        <w:ind w:left="1296" w:hanging="576"/>
        <w:rPr>
          <w:rFonts w:ascii="Bookman Old Style" w:eastAsia="Calibri" w:hAnsi="Bookman Old Style" w:cs="Calibri"/>
          <w:b/>
          <w:bCs/>
          <w:sz w:val="22"/>
          <w:szCs w:val="22"/>
        </w:rPr>
      </w:pPr>
      <w:r w:rsidRPr="00A86A89">
        <w:rPr>
          <w:rFonts w:ascii="Bookman Old Style" w:eastAsia="Calibri" w:hAnsi="Bookman Old Style" w:cs="Calibri"/>
          <w:b/>
          <w:bCs/>
          <w:sz w:val="22"/>
          <w:szCs w:val="22"/>
        </w:rPr>
        <w:t>At the time, [he] [she] was not licensed or otherwise authorized to practice law in Florida.</w:t>
      </w:r>
    </w:p>
    <w:p w14:paraId="62670257" w14:textId="77777777" w:rsidR="00A86A89" w:rsidRPr="00A86A89" w:rsidRDefault="00A86A89" w:rsidP="00A86A89">
      <w:pPr>
        <w:tabs>
          <w:tab w:val="left" w:pos="720"/>
        </w:tabs>
        <w:suppressAutoHyphens/>
        <w:spacing w:line="259" w:lineRule="auto"/>
        <w:ind w:firstLine="720"/>
        <w:rPr>
          <w:rFonts w:ascii="Bookman Old Style" w:eastAsia="Calibri" w:hAnsi="Bookman Old Style"/>
          <w:i/>
          <w:iCs/>
          <w:sz w:val="22"/>
          <w:szCs w:val="24"/>
        </w:rPr>
      </w:pPr>
      <w:r w:rsidRPr="00A86A89">
        <w:rPr>
          <w:rFonts w:ascii="Bookman Old Style" w:eastAsia="Calibri" w:hAnsi="Bookman Old Style"/>
          <w:i/>
          <w:iCs/>
          <w:sz w:val="22"/>
          <w:szCs w:val="24"/>
        </w:rPr>
        <w:t xml:space="preserve">The Florida Supreme Court has not formulated a singular, all-encompassing definition of the “practice of law.” In drafting a definition, trial judges should consider Florida Bar v. TIKD Services LLC, 326 So. 3d 1073 (Fla. 2021). </w:t>
      </w:r>
    </w:p>
    <w:p w14:paraId="24D1A936" w14:textId="77777777" w:rsidR="00A86A89" w:rsidRPr="00A86A89" w:rsidRDefault="00A86A89" w:rsidP="00A86A89">
      <w:pPr>
        <w:spacing w:after="220" w:line="259" w:lineRule="auto"/>
        <w:ind w:firstLine="720"/>
        <w:rPr>
          <w:rFonts w:ascii="Bookman Old Style" w:eastAsia="Calibri" w:hAnsi="Bookman Old Style" w:cs="Calibri"/>
          <w:sz w:val="22"/>
          <w:szCs w:val="22"/>
        </w:rPr>
      </w:pPr>
      <w:r w:rsidRPr="00A86A89">
        <w:rPr>
          <w:rFonts w:ascii="Bookman Old Style" w:eastAsia="Calibri" w:hAnsi="Bookman Old Style" w:cs="Calibri"/>
          <w:b/>
          <w:bCs/>
          <w:sz w:val="22"/>
          <w:szCs w:val="22"/>
        </w:rPr>
        <w:t>The “practice of law” includes</w:t>
      </w:r>
      <w:r w:rsidRPr="00A86A89">
        <w:rPr>
          <w:rFonts w:ascii="Bookman Old Style" w:eastAsia="Calibri" w:hAnsi="Bookman Old Style" w:cs="Calibri"/>
          <w:sz w:val="22"/>
          <w:szCs w:val="22"/>
        </w:rPr>
        <w:t xml:space="preserve"> (insert appropriate definition). </w:t>
      </w:r>
    </w:p>
    <w:p w14:paraId="1A553BC9" w14:textId="77777777" w:rsidR="00A86A89" w:rsidRPr="00A86A89" w:rsidRDefault="00A86A89" w:rsidP="00A86A89">
      <w:pPr>
        <w:tabs>
          <w:tab w:val="left" w:pos="720"/>
        </w:tabs>
        <w:suppressAutoHyphens/>
        <w:spacing w:line="259" w:lineRule="auto"/>
        <w:ind w:firstLine="720"/>
        <w:rPr>
          <w:rFonts w:ascii="Bookman Old Style" w:eastAsia="Calibri" w:hAnsi="Bookman Old Style"/>
          <w:i/>
          <w:iCs/>
          <w:sz w:val="22"/>
          <w:szCs w:val="24"/>
        </w:rPr>
      </w:pPr>
      <w:r w:rsidRPr="00A86A89">
        <w:rPr>
          <w:rFonts w:ascii="Bookman Old Style" w:eastAsia="Calibri" w:hAnsi="Bookman Old Style"/>
          <w:i/>
          <w:iCs/>
          <w:sz w:val="22"/>
          <w:szCs w:val="24"/>
        </w:rPr>
        <w:t xml:space="preserve">Give if applicable. </w:t>
      </w:r>
    </w:p>
    <w:p w14:paraId="52E34637" w14:textId="77777777" w:rsidR="00A86A89" w:rsidRPr="00A86A89" w:rsidRDefault="00A86A89" w:rsidP="00A86A89">
      <w:pPr>
        <w:spacing w:after="220" w:line="259" w:lineRule="auto"/>
        <w:ind w:firstLine="720"/>
        <w:rPr>
          <w:rFonts w:ascii="Bookman Old Style" w:eastAsia="Calibri" w:hAnsi="Bookman Old Style" w:cs="Calibri"/>
          <w:b/>
          <w:bCs/>
          <w:sz w:val="22"/>
          <w:szCs w:val="22"/>
        </w:rPr>
      </w:pPr>
      <w:r w:rsidRPr="00A86A89">
        <w:rPr>
          <w:rFonts w:ascii="Bookman Old Style" w:eastAsia="Calibri" w:hAnsi="Bookman Old Style" w:cs="Calibri"/>
          <w:b/>
          <w:bCs/>
          <w:sz w:val="22"/>
          <w:szCs w:val="22"/>
        </w:rPr>
        <w:t>“Willfully” means intentionally, knowingly, and purposely.</w:t>
      </w:r>
    </w:p>
    <w:p w14:paraId="74098EA8" w14:textId="77777777" w:rsidR="00A86A89" w:rsidRPr="00A86A89" w:rsidRDefault="00A86A89" w:rsidP="00A86A89">
      <w:pPr>
        <w:spacing w:before="220" w:after="220" w:line="259" w:lineRule="auto"/>
        <w:jc w:val="center"/>
        <w:rPr>
          <w:rFonts w:ascii="Bookman Old Style" w:eastAsia="Calibri" w:hAnsi="Bookman Old Style" w:cs="Courier New"/>
          <w:b/>
          <w:sz w:val="22"/>
          <w:szCs w:val="22"/>
        </w:rPr>
      </w:pPr>
      <w:r w:rsidRPr="00A86A89">
        <w:rPr>
          <w:rFonts w:ascii="Bookman Old Style" w:eastAsia="Calibri" w:hAnsi="Bookman Old Style" w:cs="Courier New"/>
          <w:b/>
          <w:sz w:val="22"/>
          <w:szCs w:val="22"/>
        </w:rPr>
        <w:t>Lesser Included Offense</w:t>
      </w:r>
    </w:p>
    <w:p w14:paraId="2DB2CBB4" w14:textId="77777777" w:rsidR="00A86A89" w:rsidRPr="00A86A89" w:rsidRDefault="00A86A89" w:rsidP="00A86A89">
      <w:pPr>
        <w:pBdr>
          <w:top w:val="single" w:sz="24" w:space="0" w:color="E7E6E6" w:themeColor="background2"/>
          <w:left w:val="single" w:sz="24" w:space="0" w:color="E7E6E6" w:themeColor="background2"/>
          <w:bottom w:val="single" w:sz="24" w:space="0" w:color="E7E6E6" w:themeColor="background2"/>
          <w:right w:val="single" w:sz="24" w:space="0" w:color="E7E6E6" w:themeColor="background2"/>
        </w:pBdr>
        <w:shd w:val="clear" w:color="auto" w:fill="E7E6E6" w:themeFill="background2"/>
        <w:spacing w:before="100" w:line="276" w:lineRule="auto"/>
        <w:jc w:val="center"/>
        <w:outlineLvl w:val="3"/>
        <w:rPr>
          <w:rFonts w:ascii="Bookman Old Style" w:eastAsia="Calibri" w:hAnsi="Bookman Old Style"/>
          <w:b/>
          <w:bCs/>
          <w:caps/>
          <w:sz w:val="22"/>
          <w:szCs w:val="22"/>
        </w:rPr>
      </w:pPr>
      <w:r w:rsidRPr="00A86A89">
        <w:rPr>
          <w:rFonts w:ascii="Bookman Old Style" w:eastAsia="Calibri" w:hAnsi="Bookman Old Style"/>
          <w:b/>
          <w:bCs/>
          <w:caps/>
          <w:sz w:val="22"/>
          <w:szCs w:val="22"/>
        </w:rPr>
        <w:t>PRACTICING LAW WITHOUT A LICENSE — 454.23</w:t>
      </w:r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688"/>
        <w:gridCol w:w="2726"/>
        <w:gridCol w:w="2122"/>
        <w:gridCol w:w="1814"/>
      </w:tblGrid>
      <w:tr w:rsidR="00A86A89" w:rsidRPr="00A86A89" w14:paraId="57264BFA" w14:textId="77777777" w:rsidTr="00C52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37" w:type="pct"/>
            <w:noWrap/>
          </w:tcPr>
          <w:p w14:paraId="3F3D77DB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  <w:r w:rsidRPr="00A86A89">
              <w:rPr>
                <w:rFonts w:ascii="Bookman Old Style" w:hAnsi="Bookman Old Style"/>
                <w:bCs/>
                <w:sz w:val="22"/>
              </w:rPr>
              <w:t>CATEGORY ONE</w:t>
            </w:r>
          </w:p>
        </w:tc>
        <w:tc>
          <w:tcPr>
            <w:tcW w:w="1458" w:type="pct"/>
            <w:noWrap/>
          </w:tcPr>
          <w:p w14:paraId="342BE0A1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  <w:r w:rsidRPr="00A86A89">
              <w:rPr>
                <w:rFonts w:ascii="Bookman Old Style" w:hAnsi="Bookman Old Style"/>
                <w:bCs/>
                <w:sz w:val="22"/>
              </w:rPr>
              <w:t>CATEGORY TWO</w:t>
            </w:r>
          </w:p>
        </w:tc>
        <w:tc>
          <w:tcPr>
            <w:tcW w:w="1135" w:type="pct"/>
            <w:noWrap/>
          </w:tcPr>
          <w:p w14:paraId="125552B0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  <w:r w:rsidRPr="00A86A89">
              <w:rPr>
                <w:rFonts w:ascii="Bookman Old Style" w:hAnsi="Bookman Old Style"/>
                <w:bCs/>
                <w:sz w:val="22"/>
              </w:rPr>
              <w:t>FLA. STAT.</w:t>
            </w:r>
          </w:p>
        </w:tc>
        <w:tc>
          <w:tcPr>
            <w:tcW w:w="970" w:type="pct"/>
            <w:noWrap/>
          </w:tcPr>
          <w:p w14:paraId="6E51E760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  <w:r w:rsidRPr="00A86A89">
              <w:rPr>
                <w:rFonts w:ascii="Bookman Old Style" w:hAnsi="Bookman Old Style"/>
                <w:bCs/>
                <w:sz w:val="22"/>
              </w:rPr>
              <w:t>INS. NO.</w:t>
            </w:r>
          </w:p>
        </w:tc>
      </w:tr>
      <w:tr w:rsidR="00A86A89" w:rsidRPr="00A86A89" w14:paraId="4ABF474A" w14:textId="77777777" w:rsidTr="00C526A1">
        <w:trPr>
          <w:trHeight w:val="288"/>
        </w:trPr>
        <w:tc>
          <w:tcPr>
            <w:tcW w:w="1437" w:type="pct"/>
            <w:noWrap/>
          </w:tcPr>
          <w:p w14:paraId="733DAAA1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  <w:r w:rsidRPr="00A86A89">
              <w:rPr>
                <w:rFonts w:ascii="Bookman Old Style" w:hAnsi="Bookman Old Style"/>
                <w:bCs/>
                <w:sz w:val="22"/>
              </w:rPr>
              <w:t>None</w:t>
            </w:r>
          </w:p>
        </w:tc>
        <w:tc>
          <w:tcPr>
            <w:tcW w:w="1458" w:type="pct"/>
            <w:noWrap/>
          </w:tcPr>
          <w:p w14:paraId="1FC7E983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1135" w:type="pct"/>
            <w:noWrap/>
          </w:tcPr>
          <w:p w14:paraId="5356065A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970" w:type="pct"/>
            <w:noWrap/>
          </w:tcPr>
          <w:p w14:paraId="263E9AA4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A86A89" w:rsidRPr="00A86A89" w14:paraId="0FB3B731" w14:textId="77777777" w:rsidTr="00C526A1">
        <w:trPr>
          <w:trHeight w:val="288"/>
        </w:trPr>
        <w:tc>
          <w:tcPr>
            <w:tcW w:w="1437" w:type="pct"/>
            <w:noWrap/>
          </w:tcPr>
          <w:p w14:paraId="271EC730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1458" w:type="pct"/>
            <w:noWrap/>
          </w:tcPr>
          <w:p w14:paraId="62CC4617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  <w:r w:rsidRPr="00A86A89">
              <w:rPr>
                <w:rFonts w:ascii="Bookman Old Style" w:hAnsi="Bookman Old Style"/>
                <w:bCs/>
                <w:sz w:val="22"/>
              </w:rPr>
              <w:t>Attempt</w:t>
            </w:r>
          </w:p>
        </w:tc>
        <w:tc>
          <w:tcPr>
            <w:tcW w:w="1135" w:type="pct"/>
            <w:noWrap/>
          </w:tcPr>
          <w:p w14:paraId="51A9CF66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  <w:r w:rsidRPr="00A86A89">
              <w:rPr>
                <w:rFonts w:ascii="Bookman Old Style" w:hAnsi="Bookman Old Style"/>
                <w:bCs/>
                <w:sz w:val="22"/>
              </w:rPr>
              <w:t>777.04(1)</w:t>
            </w:r>
          </w:p>
        </w:tc>
        <w:tc>
          <w:tcPr>
            <w:tcW w:w="970" w:type="pct"/>
            <w:noWrap/>
          </w:tcPr>
          <w:p w14:paraId="7A865D3C" w14:textId="77777777" w:rsidR="00A86A89" w:rsidRPr="00A86A89" w:rsidRDefault="00A86A89" w:rsidP="00A86A89">
            <w:pPr>
              <w:rPr>
                <w:rFonts w:ascii="Bookman Old Style" w:hAnsi="Bookman Old Style"/>
                <w:bCs/>
                <w:sz w:val="22"/>
              </w:rPr>
            </w:pPr>
            <w:r w:rsidRPr="00A86A89">
              <w:rPr>
                <w:rFonts w:ascii="Bookman Old Style" w:hAnsi="Bookman Old Style"/>
                <w:bCs/>
                <w:sz w:val="22"/>
              </w:rPr>
              <w:t>5.1</w:t>
            </w:r>
          </w:p>
        </w:tc>
      </w:tr>
    </w:tbl>
    <w:p w14:paraId="7C8797F5" w14:textId="77777777" w:rsidR="00A86A89" w:rsidRPr="00A86A89" w:rsidRDefault="00A86A89" w:rsidP="00A86A89">
      <w:pPr>
        <w:spacing w:before="220" w:after="220" w:line="259" w:lineRule="auto"/>
        <w:jc w:val="center"/>
        <w:rPr>
          <w:rFonts w:ascii="Bookman Old Style" w:eastAsia="Calibri" w:hAnsi="Bookman Old Style" w:cs="Courier New"/>
          <w:b/>
          <w:sz w:val="22"/>
          <w:szCs w:val="22"/>
        </w:rPr>
      </w:pPr>
      <w:r w:rsidRPr="00A86A89">
        <w:rPr>
          <w:rFonts w:ascii="Bookman Old Style" w:eastAsia="Calibri" w:hAnsi="Bookman Old Style" w:cs="Courier New"/>
          <w:b/>
          <w:sz w:val="22"/>
          <w:szCs w:val="22"/>
        </w:rPr>
        <w:t>Comments</w:t>
      </w:r>
    </w:p>
    <w:p w14:paraId="78DD84F1" w14:textId="77777777" w:rsidR="00A86A89" w:rsidRPr="00A86A89" w:rsidRDefault="00A86A89" w:rsidP="00A86A89">
      <w:pPr>
        <w:spacing w:after="220" w:line="259" w:lineRule="auto"/>
        <w:ind w:firstLine="720"/>
        <w:rPr>
          <w:rFonts w:ascii="Bookman Old Style" w:eastAsia="Calibri" w:hAnsi="Bookman Old Style" w:cs="Calibri"/>
          <w:sz w:val="22"/>
          <w:szCs w:val="22"/>
        </w:rPr>
      </w:pPr>
      <w:r w:rsidRPr="00A86A89">
        <w:rPr>
          <w:rFonts w:ascii="Bookman Old Style" w:eastAsia="Calibri" w:hAnsi="Bookman Old Style" w:cs="Calibri"/>
          <w:sz w:val="22"/>
          <w:szCs w:val="22"/>
        </w:rPr>
        <w:t>This instruction was adopted on April 25, 2023.</w:t>
      </w:r>
    </w:p>
    <w:p w14:paraId="3F86B21E" w14:textId="77777777" w:rsidR="0003350A" w:rsidRPr="00A86A89" w:rsidRDefault="0003350A" w:rsidP="00A86A89"/>
    <w:sectPr w:rsidR="0003350A" w:rsidRPr="00A86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BEDC" w14:textId="77777777" w:rsidR="001077A3" w:rsidRDefault="001077A3" w:rsidP="001077A3">
      <w:r>
        <w:separator/>
      </w:r>
    </w:p>
  </w:endnote>
  <w:endnote w:type="continuationSeparator" w:id="0">
    <w:p w14:paraId="6822871B" w14:textId="77777777" w:rsidR="001077A3" w:rsidRDefault="001077A3" w:rsidP="0010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7FD0" w14:textId="77777777" w:rsidR="001077A3" w:rsidRDefault="001077A3" w:rsidP="001077A3">
      <w:r>
        <w:separator/>
      </w:r>
    </w:p>
  </w:footnote>
  <w:footnote w:type="continuationSeparator" w:id="0">
    <w:p w14:paraId="098C0011" w14:textId="77777777" w:rsidR="001077A3" w:rsidRDefault="001077A3" w:rsidP="00107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070DF"/>
    <w:multiLevelType w:val="hybridMultilevel"/>
    <w:tmpl w:val="B748C590"/>
    <w:lvl w:ilvl="0" w:tplc="FFFFFFFF">
      <w:start w:val="1"/>
      <w:numFmt w:val="decimal"/>
      <w:lvlText w:val="%1."/>
      <w:lvlJc w:val="left"/>
      <w:pPr>
        <w:ind w:left="1080" w:hanging="360"/>
      </w:pPr>
      <w:rPr>
        <w:u w:val="singl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2D61E0"/>
    <w:multiLevelType w:val="hybridMultilevel"/>
    <w:tmpl w:val="5D5AE050"/>
    <w:lvl w:ilvl="0" w:tplc="E46A699A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7B4A65"/>
    <w:multiLevelType w:val="hybridMultilevel"/>
    <w:tmpl w:val="913AC8F0"/>
    <w:lvl w:ilvl="0" w:tplc="850EEA7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539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937622">
    <w:abstractNumId w:val="1"/>
  </w:num>
  <w:num w:numId="3" w16cid:durableId="40643029">
    <w:abstractNumId w:val="0"/>
  </w:num>
  <w:num w:numId="4" w16cid:durableId="1004478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A3"/>
    <w:rsid w:val="0003350A"/>
    <w:rsid w:val="001077A3"/>
    <w:rsid w:val="001E372A"/>
    <w:rsid w:val="00323812"/>
    <w:rsid w:val="003E6EB8"/>
    <w:rsid w:val="00414EDD"/>
    <w:rsid w:val="004A583C"/>
    <w:rsid w:val="0055588C"/>
    <w:rsid w:val="00654D0F"/>
    <w:rsid w:val="0080540A"/>
    <w:rsid w:val="008F0F3F"/>
    <w:rsid w:val="00986F4B"/>
    <w:rsid w:val="00A00666"/>
    <w:rsid w:val="00A86A89"/>
    <w:rsid w:val="00AA71D4"/>
    <w:rsid w:val="00E03234"/>
    <w:rsid w:val="00F1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ECE0"/>
  <w15:chartTrackingRefBased/>
  <w15:docId w15:val="{C3B74B11-C811-42FD-8BCF-CC4EFC89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7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7A3"/>
    <w:pPr>
      <w:spacing w:after="220" w:line="256" w:lineRule="auto"/>
      <w:ind w:left="720" w:firstLine="720"/>
    </w:pPr>
    <w:rPr>
      <w:rFonts w:ascii="Bookman Old Style" w:hAnsi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7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A3"/>
    <w:rPr>
      <w:rFonts w:ascii="Times New Roman" w:eastAsia="Times New Roman" w:hAnsi="Times New Roman" w:cs="Times New Roman"/>
      <w:sz w:val="24"/>
      <w:szCs w:val="20"/>
    </w:rPr>
  </w:style>
  <w:style w:type="paragraph" w:customStyle="1" w:styleId="SJIComments">
    <w:name w:val="SJI Comments"/>
    <w:basedOn w:val="Normal"/>
    <w:qFormat/>
    <w:rsid w:val="001E372A"/>
    <w:pPr>
      <w:spacing w:before="220" w:after="220" w:line="259" w:lineRule="auto"/>
      <w:jc w:val="center"/>
    </w:pPr>
    <w:rPr>
      <w:rFonts w:ascii="Bookman Old Style" w:hAnsi="Bookman Old Style" w:cs="Courier New"/>
      <w:b/>
      <w:sz w:val="22"/>
      <w:szCs w:val="22"/>
    </w:rPr>
  </w:style>
  <w:style w:type="table" w:customStyle="1" w:styleId="TableGrid1">
    <w:name w:val="Table Grid1"/>
    <w:basedOn w:val="TableNormal"/>
    <w:next w:val="TableGrid"/>
    <w:uiPriority w:val="99"/>
    <w:rsid w:val="001E372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1E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Schneider</dc:creator>
  <cp:keywords/>
  <dc:description/>
  <cp:lastModifiedBy>Ray, Susan D</cp:lastModifiedBy>
  <cp:revision>3</cp:revision>
  <dcterms:created xsi:type="dcterms:W3CDTF">2023-04-17T18:25:00Z</dcterms:created>
  <dcterms:modified xsi:type="dcterms:W3CDTF">2023-04-26T15:19:00Z</dcterms:modified>
</cp:coreProperties>
</file>