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3ABD" w14:textId="77777777" w:rsidR="006208CF" w:rsidRPr="006208CF" w:rsidRDefault="006208CF" w:rsidP="006208CF">
      <w:pPr>
        <w:spacing w:after="0" w:line="240" w:lineRule="auto"/>
        <w:jc w:val="center"/>
        <w:outlineLvl w:val="2"/>
        <w:rPr>
          <w:rFonts w:ascii="Bookman Old Style" w:eastAsiaTheme="majorEastAsia" w:hAnsi="Bookman Old Style"/>
          <w:b/>
          <w:bCs/>
          <w:iCs/>
          <w:caps/>
          <w:color w:val="000000"/>
          <w:sz w:val="24"/>
          <w:szCs w:val="24"/>
        </w:rPr>
      </w:pPr>
      <w:bookmarkStart w:id="0" w:name="_Toc177901554"/>
      <w:r w:rsidRPr="006208CF">
        <w:rPr>
          <w:rFonts w:ascii="Bookman Old Style" w:eastAsiaTheme="majorEastAsia" w:hAnsi="Bookman Old Style"/>
          <w:b/>
          <w:bCs/>
          <w:iCs/>
          <w:caps/>
          <w:color w:val="000000"/>
          <w:sz w:val="24"/>
          <w:szCs w:val="24"/>
        </w:rPr>
        <w:t>29.19 ABUSE OF A DEAD HUMAN BODY</w:t>
      </w:r>
      <w:bookmarkEnd w:id="0"/>
    </w:p>
    <w:p w14:paraId="4763380E" w14:textId="77777777" w:rsidR="006208CF" w:rsidRPr="006208CF" w:rsidRDefault="006208CF" w:rsidP="006208CF">
      <w:pPr>
        <w:spacing w:after="240" w:line="240" w:lineRule="auto"/>
        <w:jc w:val="center"/>
        <w:rPr>
          <w:rFonts w:ascii="Bookman Old Style" w:hAnsi="Bookman Old Style"/>
          <w:color w:val="000000"/>
          <w:sz w:val="24"/>
          <w:szCs w:val="24"/>
        </w:rPr>
      </w:pPr>
      <w:r w:rsidRPr="006208CF">
        <w:rPr>
          <w:rFonts w:ascii="Bookman Old Style" w:hAnsi="Bookman Old Style"/>
          <w:color w:val="000000"/>
          <w:sz w:val="24"/>
          <w:szCs w:val="24"/>
        </w:rPr>
        <w:t>§ 872.06(2), Fla. Stat.</w:t>
      </w:r>
    </w:p>
    <w:p w14:paraId="446A514B" w14:textId="77777777" w:rsidR="006208CF" w:rsidRPr="006208CF" w:rsidRDefault="006208CF" w:rsidP="006208CF">
      <w:pPr>
        <w:spacing w:after="220"/>
        <w:ind w:firstLine="720"/>
        <w:rPr>
          <w:rFonts w:ascii="Bookman Old Style" w:hAnsi="Bookman Old Style"/>
          <w:b/>
          <w:bCs/>
          <w:color w:val="000000"/>
        </w:rPr>
      </w:pPr>
      <w:r w:rsidRPr="006208CF">
        <w:rPr>
          <w:rFonts w:ascii="Bookman Old Style" w:hAnsi="Bookman Old Style"/>
          <w:b/>
          <w:bCs/>
          <w:color w:val="000000"/>
        </w:rPr>
        <w:t>To prove the crime of Abuse of a Dead Human Body, the State must prove the following element beyond a reasonable doubt:</w:t>
      </w:r>
    </w:p>
    <w:p w14:paraId="3DBD8CC7" w14:textId="77777777" w:rsidR="006208CF" w:rsidRPr="006208CF" w:rsidRDefault="006208CF" w:rsidP="006208CF">
      <w:pPr>
        <w:spacing w:after="220"/>
        <w:ind w:left="360" w:firstLine="360"/>
        <w:rPr>
          <w:rFonts w:ascii="Bookman Old Style" w:hAnsi="Bookman Old Style"/>
          <w:b/>
          <w:bCs/>
          <w:color w:val="000000"/>
        </w:rPr>
      </w:pPr>
      <w:r w:rsidRPr="006208CF">
        <w:rPr>
          <w:rFonts w:ascii="Bookman Old Style" w:hAnsi="Bookman Old Style"/>
          <w:color w:val="000000"/>
        </w:rPr>
        <w:t>(Defendant)</w:t>
      </w:r>
      <w:r w:rsidRPr="006208CF">
        <w:rPr>
          <w:rFonts w:ascii="Bookman Old Style" w:hAnsi="Bookman Old Style"/>
          <w:b/>
          <w:bCs/>
          <w:color w:val="000000"/>
        </w:rPr>
        <w:t xml:space="preserve"> [mutilated] [committed sexual abuse] [grossly abused] a dead human body. </w:t>
      </w:r>
    </w:p>
    <w:p w14:paraId="2BCE82AA" w14:textId="77777777" w:rsidR="006208CF" w:rsidRPr="006208CF" w:rsidRDefault="006208CF" w:rsidP="006208CF">
      <w:pPr>
        <w:tabs>
          <w:tab w:val="left" w:pos="720"/>
        </w:tabs>
        <w:suppressAutoHyphens/>
        <w:spacing w:after="0"/>
        <w:ind w:firstLine="720"/>
        <w:rPr>
          <w:rFonts w:ascii="Bookman Old Style" w:hAnsi="Bookman Old Style"/>
          <w:i/>
          <w:iCs/>
          <w:color w:val="000000"/>
          <w:szCs w:val="24"/>
        </w:rPr>
      </w:pPr>
      <w:r w:rsidRPr="006208CF">
        <w:rPr>
          <w:rFonts w:ascii="Bookman Old Style" w:hAnsi="Bookman Old Style"/>
          <w:i/>
          <w:iCs/>
          <w:color w:val="000000"/>
        </w:rPr>
        <w:t>Give if applicable. § 872.06(1), Fla. Stat.</w:t>
      </w:r>
      <w:r w:rsidRPr="006208CF">
        <w:rPr>
          <w:rFonts w:ascii="Bookman Old Style" w:hAnsi="Bookman Old Style"/>
          <w:color w:val="000000"/>
          <w:szCs w:val="24"/>
        </w:rPr>
        <w:t xml:space="preserve"> </w:t>
      </w:r>
    </w:p>
    <w:p w14:paraId="2C777B77" w14:textId="77777777" w:rsidR="006208CF" w:rsidRPr="006208CF" w:rsidRDefault="006208CF" w:rsidP="006208CF">
      <w:pPr>
        <w:spacing w:after="220"/>
        <w:ind w:firstLine="720"/>
        <w:rPr>
          <w:rFonts w:ascii="Bookman Old Style" w:hAnsi="Bookman Old Style"/>
          <w:b/>
          <w:bCs/>
          <w:color w:val="000000"/>
        </w:rPr>
      </w:pPr>
      <w:r w:rsidRPr="006208CF">
        <w:rPr>
          <w:rFonts w:ascii="Bookman Old Style" w:hAnsi="Bookman Old Style"/>
          <w:b/>
          <w:bCs/>
          <w:color w:val="000000"/>
        </w:rPr>
        <w:t xml:space="preserve">“Sexual abuse” means anal or female genital penetration of a dead human body by the sexual organ of a person or by any other object; or contact or union of the penis, female genitals, or anus of a person with the mouth, penis, female </w:t>
      </w:r>
      <w:proofErr w:type="gramStart"/>
      <w:r w:rsidRPr="006208CF">
        <w:rPr>
          <w:rFonts w:ascii="Bookman Old Style" w:hAnsi="Bookman Old Style"/>
          <w:b/>
          <w:bCs/>
          <w:color w:val="000000"/>
        </w:rPr>
        <w:t>genitals</w:t>
      </w:r>
      <w:proofErr w:type="gramEnd"/>
      <w:r w:rsidRPr="006208CF">
        <w:rPr>
          <w:rFonts w:ascii="Bookman Old Style" w:hAnsi="Bookman Old Style"/>
          <w:b/>
          <w:bCs/>
          <w:color w:val="000000"/>
        </w:rPr>
        <w:t xml:space="preserve"> or anus of a dead human body; or contact or union of a person’s mouth with the penis, female genitals, or anus of a dead human body.</w:t>
      </w:r>
    </w:p>
    <w:p w14:paraId="7EC8578C" w14:textId="77777777" w:rsidR="006208CF" w:rsidRPr="006208CF" w:rsidRDefault="006208CF" w:rsidP="006208CF">
      <w:pPr>
        <w:spacing w:after="220"/>
        <w:ind w:firstLine="720"/>
        <w:rPr>
          <w:rFonts w:ascii="Bookman Old Style" w:hAnsi="Bookman Old Style"/>
          <w:b/>
          <w:bCs/>
          <w:color w:val="000000"/>
        </w:rPr>
      </w:pPr>
      <w:r w:rsidRPr="006208CF">
        <w:rPr>
          <w:rFonts w:ascii="Bookman Old Style" w:hAnsi="Bookman Old Style"/>
          <w:b/>
          <w:bCs/>
          <w:color w:val="000000"/>
        </w:rPr>
        <w:t>“Female genitals*” includes the labia minora, labia majora, clitoris, vulva, hymen, and vagina.</w:t>
      </w:r>
    </w:p>
    <w:p w14:paraId="66D39576" w14:textId="77777777" w:rsidR="006208CF" w:rsidRPr="006208CF" w:rsidRDefault="006208CF" w:rsidP="006208CF">
      <w:pPr>
        <w:tabs>
          <w:tab w:val="left" w:pos="720"/>
        </w:tabs>
        <w:suppressAutoHyphens/>
        <w:spacing w:after="0"/>
        <w:ind w:firstLine="720"/>
        <w:rPr>
          <w:rFonts w:ascii="Bookman Old Style" w:hAnsi="Bookman Old Style"/>
          <w:i/>
          <w:iCs/>
          <w:color w:val="000000"/>
          <w:szCs w:val="24"/>
        </w:rPr>
      </w:pPr>
      <w:r w:rsidRPr="006208CF">
        <w:rPr>
          <w:rFonts w:ascii="Bookman Old Style" w:hAnsi="Bookman Old Style"/>
          <w:i/>
          <w:iCs/>
          <w:color w:val="000000"/>
          <w:szCs w:val="24"/>
        </w:rPr>
        <w:t xml:space="preserve">Phillips v. State, 238 So. 3d 308 (Fla. 4th DCA 2018). </w:t>
      </w:r>
    </w:p>
    <w:p w14:paraId="5E19B698" w14:textId="77777777" w:rsidR="006208CF" w:rsidRPr="006208CF" w:rsidRDefault="006208CF" w:rsidP="006208CF">
      <w:pPr>
        <w:spacing w:after="220"/>
        <w:ind w:firstLine="720"/>
        <w:rPr>
          <w:rFonts w:ascii="Bookman Old Style" w:hAnsi="Bookman Old Style" w:cs="Calibri"/>
          <w:b/>
          <w:bCs/>
          <w:color w:val="000000"/>
        </w:rPr>
      </w:pPr>
      <w:r w:rsidRPr="006208CF">
        <w:rPr>
          <w:rFonts w:ascii="Bookman Old Style" w:hAnsi="Bookman Old Style" w:cs="Calibri"/>
          <w:b/>
          <w:bCs/>
          <w:color w:val="000000"/>
        </w:rPr>
        <w:t>“Union” means contact.</w:t>
      </w:r>
    </w:p>
    <w:p w14:paraId="1B7EC02F" w14:textId="77777777" w:rsidR="006208CF" w:rsidRPr="006208CF" w:rsidRDefault="006208CF" w:rsidP="006208CF">
      <w:pPr>
        <w:tabs>
          <w:tab w:val="left" w:pos="720"/>
        </w:tabs>
        <w:suppressAutoHyphens/>
        <w:spacing w:after="0"/>
        <w:ind w:firstLine="720"/>
        <w:rPr>
          <w:rFonts w:ascii="Bookman Old Style" w:hAnsi="Bookman Old Style"/>
          <w:i/>
          <w:iCs/>
          <w:color w:val="000000"/>
          <w:szCs w:val="24"/>
        </w:rPr>
      </w:pPr>
      <w:r w:rsidRPr="006208CF">
        <w:rPr>
          <w:rFonts w:ascii="Bookman Old Style" w:hAnsi="Bookman Old Style"/>
          <w:i/>
          <w:iCs/>
          <w:color w:val="000000"/>
          <w:szCs w:val="24"/>
        </w:rPr>
        <w:t>Give if applicable.</w:t>
      </w:r>
    </w:p>
    <w:p w14:paraId="689F922E" w14:textId="77777777" w:rsidR="006208CF" w:rsidRPr="006208CF" w:rsidRDefault="006208CF" w:rsidP="006208CF">
      <w:pPr>
        <w:tabs>
          <w:tab w:val="left" w:pos="720"/>
        </w:tabs>
        <w:suppressAutoHyphens/>
        <w:spacing w:after="0"/>
        <w:ind w:firstLine="720"/>
        <w:rPr>
          <w:rFonts w:ascii="Bookman Old Style" w:hAnsi="Bookman Old Style"/>
          <w:i/>
          <w:iCs/>
          <w:color w:val="000000"/>
          <w:szCs w:val="24"/>
        </w:rPr>
      </w:pPr>
      <w:r w:rsidRPr="006208CF">
        <w:rPr>
          <w:rFonts w:ascii="Bookman Old Style" w:hAnsi="Bookman Old Style"/>
          <w:i/>
          <w:iCs/>
          <w:color w:val="000000"/>
          <w:szCs w:val="24"/>
        </w:rPr>
        <w:t>Lakey v. State, 113 So. 3d 90 (Fla. 5th DCA 2013).</w:t>
      </w:r>
    </w:p>
    <w:p w14:paraId="4CB7D703" w14:textId="77777777" w:rsidR="006208CF" w:rsidRPr="006208CF" w:rsidRDefault="006208CF" w:rsidP="006208CF">
      <w:pPr>
        <w:spacing w:after="220"/>
        <w:ind w:firstLine="720"/>
        <w:rPr>
          <w:rFonts w:ascii="Bookman Old Style" w:hAnsi="Bookman Old Style" w:cs="Calibri"/>
          <w:b/>
          <w:bCs/>
          <w:color w:val="000000"/>
        </w:rPr>
      </w:pPr>
      <w:r w:rsidRPr="006208CF">
        <w:rPr>
          <w:rFonts w:ascii="Bookman Old Style" w:hAnsi="Bookman Old Style" w:cs="Calibri"/>
          <w:b/>
          <w:bCs/>
          <w:color w:val="000000"/>
        </w:rPr>
        <w:t>The definition of “an object” includes a finger.</w:t>
      </w:r>
    </w:p>
    <w:p w14:paraId="43C061EF" w14:textId="77777777" w:rsidR="006208CF" w:rsidRPr="006208CF" w:rsidRDefault="006208CF" w:rsidP="006208CF">
      <w:pPr>
        <w:spacing w:after="0"/>
        <w:ind w:firstLine="720"/>
        <w:rPr>
          <w:rFonts w:ascii="Bookman Old Style" w:hAnsi="Bookman Old Style"/>
          <w:color w:val="000000"/>
        </w:rPr>
      </w:pPr>
      <w:r w:rsidRPr="006208CF">
        <w:rPr>
          <w:rFonts w:ascii="Bookman Old Style" w:hAnsi="Bookman Old Style" w:cs="Calibri"/>
          <w:i/>
          <w:iCs/>
          <w:color w:val="000000"/>
        </w:rPr>
        <w:t xml:space="preserve">Give if applicable. </w:t>
      </w:r>
      <w:r w:rsidRPr="006208CF">
        <w:rPr>
          <w:rFonts w:ascii="Bookman Old Style" w:hAnsi="Bookman Old Style"/>
          <w:i/>
          <w:iCs/>
          <w:color w:val="000000"/>
        </w:rPr>
        <w:t>§ 872.06(2), Fla. Stat.</w:t>
      </w:r>
    </w:p>
    <w:p w14:paraId="4679F17B" w14:textId="77777777" w:rsidR="006208CF" w:rsidRPr="006208CF" w:rsidRDefault="006208CF" w:rsidP="006208CF">
      <w:pPr>
        <w:spacing w:after="220"/>
        <w:ind w:firstLine="720"/>
        <w:rPr>
          <w:rFonts w:ascii="Bookman Old Style" w:hAnsi="Bookman Old Style"/>
          <w:b/>
          <w:bCs/>
          <w:color w:val="000000"/>
        </w:rPr>
      </w:pPr>
      <w:r w:rsidRPr="006208CF">
        <w:rPr>
          <w:rFonts w:ascii="Bookman Old Style" w:hAnsi="Bookman Old Style"/>
          <w:b/>
          <w:bCs/>
          <w:color w:val="000000"/>
        </w:rPr>
        <w:t xml:space="preserve">An act done for a bona fide medical purpose or for any other lawful purpose does not constitute a violation of this statute. “Bona fide” means genuine. </w:t>
      </w:r>
    </w:p>
    <w:p w14:paraId="4F31C57D" w14:textId="77777777" w:rsidR="006208CF" w:rsidRPr="006208CF" w:rsidRDefault="006208CF" w:rsidP="006208CF">
      <w:pPr>
        <w:spacing w:before="220" w:after="220"/>
        <w:jc w:val="center"/>
        <w:rPr>
          <w:rFonts w:ascii="Bookman Old Style" w:hAnsi="Bookman Old Style" w:cs="Courier New"/>
          <w:b/>
          <w:color w:val="000000"/>
        </w:rPr>
      </w:pPr>
      <w:r w:rsidRPr="006208CF">
        <w:rPr>
          <w:rFonts w:ascii="Bookman Old Style" w:hAnsi="Bookman Old Style" w:cs="Courier New"/>
          <w:b/>
          <w:color w:val="000000"/>
        </w:rPr>
        <w:t>Lesser Included Offense</w:t>
      </w:r>
    </w:p>
    <w:p w14:paraId="43722307" w14:textId="77777777" w:rsidR="006208CF" w:rsidRPr="006208CF" w:rsidRDefault="006208CF" w:rsidP="006208C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heme="minorEastAsia" w:hAnsi="Bookman Old Style"/>
          <w:b/>
          <w:bCs/>
          <w:caps/>
          <w:color w:val="000000"/>
        </w:rPr>
      </w:pPr>
      <w:r w:rsidRPr="006208CF">
        <w:rPr>
          <w:rFonts w:ascii="Bookman Old Style" w:eastAsiaTheme="minorEastAsia" w:hAnsi="Bookman Old Style"/>
          <w:b/>
          <w:bCs/>
          <w:caps/>
          <w:color w:val="000000"/>
        </w:rPr>
        <w:t>ABUSE OF A DEAD HUMAN BODY — 872.06(2)</w:t>
      </w:r>
    </w:p>
    <w:tbl>
      <w:tblPr>
        <w:tblStyle w:val="TableGrid11"/>
        <w:tblW w:w="5000" w:type="pct"/>
        <w:tblLook w:val="0020" w:firstRow="1" w:lastRow="0" w:firstColumn="0" w:lastColumn="0" w:noHBand="0" w:noVBand="0"/>
      </w:tblPr>
      <w:tblGrid>
        <w:gridCol w:w="2991"/>
        <w:gridCol w:w="2992"/>
        <w:gridCol w:w="1964"/>
        <w:gridCol w:w="1403"/>
      </w:tblGrid>
      <w:tr w:rsidR="006208CF" w:rsidRPr="006208CF" w14:paraId="38732147" w14:textId="77777777" w:rsidTr="00F76D2C">
        <w:trPr>
          <w:cnfStyle w:val="100000000000" w:firstRow="1" w:lastRow="0" w:firstColumn="0" w:lastColumn="0" w:oddVBand="0" w:evenVBand="0" w:oddHBand="0" w:evenHBand="0" w:firstRowFirstColumn="0" w:firstRowLastColumn="0" w:lastRowFirstColumn="0" w:lastRowLastColumn="0"/>
        </w:trPr>
        <w:tc>
          <w:tcPr>
            <w:tcW w:w="1599" w:type="pct"/>
          </w:tcPr>
          <w:p w14:paraId="0CB69C7C" w14:textId="77777777" w:rsidR="006208CF" w:rsidRPr="006208CF" w:rsidRDefault="006208CF" w:rsidP="006208CF">
            <w:pPr>
              <w:spacing w:after="0" w:line="240" w:lineRule="auto"/>
              <w:rPr>
                <w:bCs/>
                <w:color w:val="000000"/>
                <w:szCs w:val="20"/>
              </w:rPr>
            </w:pPr>
            <w:r w:rsidRPr="006208CF">
              <w:rPr>
                <w:bCs/>
                <w:color w:val="000000"/>
                <w:szCs w:val="20"/>
              </w:rPr>
              <w:t>CATEGORY ONE</w:t>
            </w:r>
          </w:p>
        </w:tc>
        <w:tc>
          <w:tcPr>
            <w:tcW w:w="1600" w:type="pct"/>
          </w:tcPr>
          <w:p w14:paraId="549E0BD3" w14:textId="77777777" w:rsidR="006208CF" w:rsidRPr="006208CF" w:rsidRDefault="006208CF" w:rsidP="006208CF">
            <w:pPr>
              <w:spacing w:after="0" w:line="240" w:lineRule="auto"/>
              <w:rPr>
                <w:bCs/>
                <w:color w:val="000000"/>
                <w:szCs w:val="20"/>
              </w:rPr>
            </w:pPr>
            <w:r w:rsidRPr="006208CF">
              <w:rPr>
                <w:bCs/>
                <w:color w:val="000000"/>
                <w:szCs w:val="20"/>
              </w:rPr>
              <w:t>CATEGORY TWO</w:t>
            </w:r>
          </w:p>
        </w:tc>
        <w:tc>
          <w:tcPr>
            <w:tcW w:w="1050" w:type="pct"/>
          </w:tcPr>
          <w:p w14:paraId="4E388221" w14:textId="77777777" w:rsidR="006208CF" w:rsidRPr="006208CF" w:rsidRDefault="006208CF" w:rsidP="006208CF">
            <w:pPr>
              <w:spacing w:after="0" w:line="240" w:lineRule="auto"/>
              <w:rPr>
                <w:bCs/>
                <w:color w:val="000000"/>
                <w:szCs w:val="20"/>
              </w:rPr>
            </w:pPr>
            <w:r w:rsidRPr="006208CF">
              <w:rPr>
                <w:bCs/>
                <w:color w:val="000000"/>
                <w:szCs w:val="20"/>
              </w:rPr>
              <w:t>FLA. STAT.</w:t>
            </w:r>
          </w:p>
        </w:tc>
        <w:tc>
          <w:tcPr>
            <w:tcW w:w="750" w:type="pct"/>
          </w:tcPr>
          <w:p w14:paraId="68E51C14" w14:textId="77777777" w:rsidR="006208CF" w:rsidRPr="006208CF" w:rsidRDefault="006208CF" w:rsidP="006208CF">
            <w:pPr>
              <w:spacing w:after="0" w:line="240" w:lineRule="auto"/>
              <w:rPr>
                <w:bCs/>
                <w:color w:val="000000"/>
                <w:szCs w:val="20"/>
              </w:rPr>
            </w:pPr>
            <w:r w:rsidRPr="006208CF">
              <w:rPr>
                <w:bCs/>
                <w:color w:val="000000"/>
                <w:szCs w:val="20"/>
              </w:rPr>
              <w:t>INS. NO.</w:t>
            </w:r>
          </w:p>
        </w:tc>
      </w:tr>
      <w:tr w:rsidR="006208CF" w:rsidRPr="006208CF" w14:paraId="4123C7D3" w14:textId="77777777" w:rsidTr="00F76D2C">
        <w:tc>
          <w:tcPr>
            <w:tcW w:w="1599" w:type="pct"/>
          </w:tcPr>
          <w:p w14:paraId="33D07DDB" w14:textId="77777777" w:rsidR="006208CF" w:rsidRPr="006208CF" w:rsidRDefault="006208CF" w:rsidP="006208CF">
            <w:pPr>
              <w:spacing w:after="0" w:line="240" w:lineRule="auto"/>
              <w:rPr>
                <w:bCs/>
                <w:color w:val="000000"/>
                <w:szCs w:val="20"/>
              </w:rPr>
            </w:pPr>
            <w:r w:rsidRPr="006208CF">
              <w:rPr>
                <w:bCs/>
                <w:color w:val="000000"/>
                <w:szCs w:val="20"/>
              </w:rPr>
              <w:t xml:space="preserve">None </w:t>
            </w:r>
          </w:p>
        </w:tc>
        <w:tc>
          <w:tcPr>
            <w:tcW w:w="1600" w:type="pct"/>
          </w:tcPr>
          <w:p w14:paraId="607904F6" w14:textId="77777777" w:rsidR="006208CF" w:rsidRPr="006208CF" w:rsidRDefault="006208CF" w:rsidP="006208CF">
            <w:pPr>
              <w:spacing w:after="0" w:line="240" w:lineRule="auto"/>
              <w:rPr>
                <w:bCs/>
                <w:color w:val="000000"/>
                <w:szCs w:val="20"/>
              </w:rPr>
            </w:pPr>
          </w:p>
        </w:tc>
        <w:tc>
          <w:tcPr>
            <w:tcW w:w="1050" w:type="pct"/>
          </w:tcPr>
          <w:p w14:paraId="1DC0395F" w14:textId="77777777" w:rsidR="006208CF" w:rsidRPr="006208CF" w:rsidRDefault="006208CF" w:rsidP="006208CF">
            <w:pPr>
              <w:spacing w:after="0" w:line="240" w:lineRule="auto"/>
              <w:rPr>
                <w:bCs/>
                <w:color w:val="000000"/>
                <w:szCs w:val="20"/>
              </w:rPr>
            </w:pPr>
          </w:p>
        </w:tc>
        <w:tc>
          <w:tcPr>
            <w:tcW w:w="750" w:type="pct"/>
          </w:tcPr>
          <w:p w14:paraId="7265A97B" w14:textId="77777777" w:rsidR="006208CF" w:rsidRPr="006208CF" w:rsidRDefault="006208CF" w:rsidP="006208CF">
            <w:pPr>
              <w:spacing w:after="0" w:line="240" w:lineRule="auto"/>
              <w:rPr>
                <w:bCs/>
                <w:color w:val="000000"/>
                <w:szCs w:val="20"/>
              </w:rPr>
            </w:pPr>
          </w:p>
        </w:tc>
      </w:tr>
      <w:tr w:rsidR="006208CF" w:rsidRPr="006208CF" w14:paraId="275D6CF6" w14:textId="77777777" w:rsidTr="00F76D2C">
        <w:tc>
          <w:tcPr>
            <w:tcW w:w="1599" w:type="pct"/>
          </w:tcPr>
          <w:p w14:paraId="14B5B21C" w14:textId="77777777" w:rsidR="006208CF" w:rsidRPr="006208CF" w:rsidRDefault="006208CF" w:rsidP="006208CF">
            <w:pPr>
              <w:spacing w:after="0" w:line="240" w:lineRule="auto"/>
              <w:rPr>
                <w:bCs/>
                <w:color w:val="000000"/>
                <w:szCs w:val="20"/>
              </w:rPr>
            </w:pPr>
          </w:p>
        </w:tc>
        <w:tc>
          <w:tcPr>
            <w:tcW w:w="1600" w:type="pct"/>
          </w:tcPr>
          <w:p w14:paraId="197EA874" w14:textId="77777777" w:rsidR="006208CF" w:rsidRPr="006208CF" w:rsidRDefault="006208CF" w:rsidP="006208CF">
            <w:pPr>
              <w:spacing w:after="0" w:line="240" w:lineRule="auto"/>
              <w:rPr>
                <w:bCs/>
                <w:color w:val="000000"/>
                <w:szCs w:val="20"/>
              </w:rPr>
            </w:pPr>
            <w:r w:rsidRPr="006208CF">
              <w:rPr>
                <w:bCs/>
                <w:color w:val="000000"/>
                <w:szCs w:val="20"/>
              </w:rPr>
              <w:t xml:space="preserve">Attempt </w:t>
            </w:r>
          </w:p>
        </w:tc>
        <w:tc>
          <w:tcPr>
            <w:tcW w:w="1050" w:type="pct"/>
          </w:tcPr>
          <w:p w14:paraId="2B111A2C" w14:textId="77777777" w:rsidR="006208CF" w:rsidRPr="006208CF" w:rsidRDefault="006208CF" w:rsidP="006208CF">
            <w:pPr>
              <w:spacing w:after="0" w:line="240" w:lineRule="auto"/>
              <w:rPr>
                <w:bCs/>
                <w:color w:val="000000"/>
                <w:szCs w:val="20"/>
              </w:rPr>
            </w:pPr>
            <w:r w:rsidRPr="006208CF">
              <w:rPr>
                <w:bCs/>
                <w:color w:val="000000"/>
                <w:szCs w:val="20"/>
              </w:rPr>
              <w:t>777.04(1)</w:t>
            </w:r>
          </w:p>
        </w:tc>
        <w:tc>
          <w:tcPr>
            <w:tcW w:w="750" w:type="pct"/>
          </w:tcPr>
          <w:p w14:paraId="4A25CE05" w14:textId="77777777" w:rsidR="006208CF" w:rsidRPr="006208CF" w:rsidRDefault="006208CF" w:rsidP="006208CF">
            <w:pPr>
              <w:spacing w:after="0" w:line="240" w:lineRule="auto"/>
              <w:rPr>
                <w:bCs/>
                <w:color w:val="000000"/>
                <w:szCs w:val="20"/>
              </w:rPr>
            </w:pPr>
            <w:r w:rsidRPr="006208CF">
              <w:rPr>
                <w:bCs/>
                <w:color w:val="000000"/>
                <w:szCs w:val="20"/>
              </w:rPr>
              <w:t>5.1</w:t>
            </w:r>
          </w:p>
        </w:tc>
      </w:tr>
    </w:tbl>
    <w:p w14:paraId="4629D65C" w14:textId="77777777" w:rsidR="006208CF" w:rsidRPr="006208CF" w:rsidRDefault="006208CF" w:rsidP="006208CF">
      <w:pPr>
        <w:spacing w:before="220" w:after="220"/>
        <w:jc w:val="center"/>
        <w:rPr>
          <w:rFonts w:ascii="Bookman Old Style" w:hAnsi="Bookman Old Style" w:cs="Courier New"/>
          <w:b/>
          <w:color w:val="000000"/>
        </w:rPr>
      </w:pPr>
      <w:r w:rsidRPr="006208CF">
        <w:rPr>
          <w:rFonts w:ascii="Bookman Old Style" w:hAnsi="Bookman Old Style" w:cs="Courier New"/>
          <w:b/>
          <w:color w:val="000000"/>
        </w:rPr>
        <w:t>Comments</w:t>
      </w:r>
    </w:p>
    <w:p w14:paraId="4E115BB7" w14:textId="77777777" w:rsidR="006208CF" w:rsidRPr="006208CF" w:rsidRDefault="006208CF" w:rsidP="006208CF">
      <w:pPr>
        <w:spacing w:after="220" w:line="256" w:lineRule="auto"/>
        <w:ind w:firstLine="720"/>
        <w:rPr>
          <w:rFonts w:ascii="Bookman Old Style" w:hAnsi="Bookman Old Style" w:cs="Calibri"/>
          <w:color w:val="000000"/>
        </w:rPr>
      </w:pPr>
      <w:r w:rsidRPr="006208CF">
        <w:rPr>
          <w:rFonts w:ascii="Bookman Old Style" w:hAnsi="Bookman Old Style" w:cs="Calibri"/>
          <w:color w:val="000000"/>
        </w:rPr>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6208CF">
        <w:rPr>
          <w:rFonts w:ascii="Bookman Old Style" w:hAnsi="Bookman Old Style" w:cs="Calibri"/>
          <w:i/>
          <w:iCs/>
          <w:color w:val="000000"/>
        </w:rPr>
        <w:t xml:space="preserve">Flores v. State, </w:t>
      </w:r>
      <w:r w:rsidRPr="006208CF">
        <w:rPr>
          <w:rFonts w:ascii="Bookman Old Style" w:hAnsi="Bookman Old Style" w:cs="Calibri"/>
          <w:color w:val="000000"/>
        </w:rPr>
        <w:t xml:space="preserve">-- So. 3d -- (Fla. 4th DCA 2024) is an example of an appellate court finding fundamental error when the trial judge expanded the definition of “vaginal penetration” by instructing on “female genital penetration.”  </w:t>
      </w:r>
    </w:p>
    <w:p w14:paraId="0AF86296" w14:textId="77777777" w:rsidR="006208CF" w:rsidRPr="006208CF" w:rsidRDefault="006208CF" w:rsidP="006208CF">
      <w:pPr>
        <w:spacing w:after="220"/>
        <w:ind w:firstLine="720"/>
        <w:rPr>
          <w:rFonts w:ascii="Bookman Old Style" w:hAnsi="Bookman Old Style"/>
          <w:color w:val="000000"/>
        </w:rPr>
      </w:pPr>
      <w:r w:rsidRPr="006208CF">
        <w:rPr>
          <w:rFonts w:ascii="Bookman Old Style" w:hAnsi="Bookman Old Style"/>
          <w:color w:val="000000"/>
        </w:rPr>
        <w:t xml:space="preserve">As of November 2022, it was unclear whether an act done for a bona fide medical purpose or other lawful purpose should be treated as an affirmative defense or as an element that the State must disprove. If treated as an affirmative defense, the judge must then determine who has the burden of persuasion and what that burden is (preponderance, clear and convincing, or beyond a reasonable doubt).  </w:t>
      </w:r>
    </w:p>
    <w:p w14:paraId="75EAC591" w14:textId="77777777" w:rsidR="006208CF" w:rsidRPr="006208CF" w:rsidRDefault="006208CF" w:rsidP="006208CF">
      <w:pPr>
        <w:spacing w:after="220"/>
        <w:ind w:firstLine="720"/>
        <w:rPr>
          <w:rFonts w:ascii="Bookman Old Style" w:hAnsi="Bookman Old Style"/>
          <w:color w:val="000000"/>
        </w:rPr>
      </w:pPr>
      <w:r w:rsidRPr="006208CF">
        <w:rPr>
          <w:rFonts w:ascii="Bookman Old Style" w:hAnsi="Bookman Old Style"/>
          <w:color w:val="000000"/>
        </w:rPr>
        <w:t xml:space="preserve">“Mutilation” has not been defined as that term is used in this statute. In </w:t>
      </w:r>
      <w:r w:rsidRPr="006208CF">
        <w:rPr>
          <w:rFonts w:ascii="Bookman Old Style" w:hAnsi="Bookman Old Style"/>
          <w:i/>
          <w:iCs/>
          <w:color w:val="000000"/>
        </w:rPr>
        <w:t xml:space="preserve">English v. State, </w:t>
      </w:r>
      <w:r w:rsidRPr="006208CF">
        <w:rPr>
          <w:rFonts w:ascii="Bookman Old Style" w:hAnsi="Bookman Old Style"/>
          <w:color w:val="000000"/>
        </w:rPr>
        <w:t>191 So. 3d 448 (Fla. 2016), the court considered § 316.605(1) Fla. Stat., a provision that included the term mutilation in relation to the obstruction of a license plate. While the majority opinion did not reach the issue, the dissenting opinion included a definition for mutilation as “encompass[</w:t>
      </w:r>
      <w:proofErr w:type="spellStart"/>
      <w:r w:rsidRPr="006208CF">
        <w:rPr>
          <w:rFonts w:ascii="Bookman Old Style" w:hAnsi="Bookman Old Style"/>
          <w:color w:val="000000"/>
        </w:rPr>
        <w:t>ing</w:t>
      </w:r>
      <w:proofErr w:type="spellEnd"/>
      <w:r w:rsidRPr="006208CF">
        <w:rPr>
          <w:rFonts w:ascii="Bookman Old Style" w:hAnsi="Bookman Old Style"/>
          <w:color w:val="000000"/>
        </w:rPr>
        <w:t xml:space="preserve">] any severe injury that results in the cutting off or removal of an essential part of a person or thing and impairs its completeness, beauty or function.” </w:t>
      </w:r>
      <w:r w:rsidRPr="006208CF">
        <w:rPr>
          <w:rFonts w:ascii="Bookman Old Style" w:hAnsi="Bookman Old Style"/>
          <w:i/>
          <w:iCs/>
          <w:color w:val="000000"/>
        </w:rPr>
        <w:t xml:space="preserve">Id. at </w:t>
      </w:r>
      <w:r w:rsidRPr="006208CF">
        <w:rPr>
          <w:rFonts w:ascii="Bookman Old Style" w:hAnsi="Bookman Old Style"/>
          <w:color w:val="000000"/>
        </w:rPr>
        <w:t xml:space="preserve">454 n.2 (Fla. 2016) (Perry. J., dissenting), citing </w:t>
      </w:r>
      <w:r w:rsidRPr="006208CF">
        <w:rPr>
          <w:rFonts w:ascii="Bookman Old Style" w:hAnsi="Bookman Old Style"/>
          <w:i/>
          <w:iCs/>
          <w:color w:val="000000"/>
        </w:rPr>
        <w:t xml:space="preserve">State v. Stout, </w:t>
      </w:r>
      <w:r w:rsidRPr="006208CF">
        <w:rPr>
          <w:rFonts w:ascii="Bookman Old Style" w:hAnsi="Bookman Old Style"/>
          <w:color w:val="000000"/>
        </w:rPr>
        <w:t xml:space="preserve">958 S.W.2d 32, 34 (Mo. App. E.D. 1997) (defining mutilation as used in an animal abuse statute). </w:t>
      </w:r>
      <w:r w:rsidRPr="006208CF">
        <w:rPr>
          <w:rFonts w:ascii="Bookman Old Style" w:hAnsi="Bookman Old Style"/>
          <w:i/>
          <w:iCs/>
          <w:color w:val="000000"/>
        </w:rPr>
        <w:t xml:space="preserve">See also </w:t>
      </w:r>
      <w:r w:rsidRPr="006208CF">
        <w:rPr>
          <w:rFonts w:ascii="Bookman Old Style" w:hAnsi="Bookman Old Style"/>
          <w:color w:val="000000"/>
        </w:rPr>
        <w:t xml:space="preserve">§ 794.08(1), Fla. Stat., defining “female genital mutilation” as the “circumcising, </w:t>
      </w:r>
      <w:proofErr w:type="gramStart"/>
      <w:r w:rsidRPr="006208CF">
        <w:rPr>
          <w:rFonts w:ascii="Bookman Old Style" w:hAnsi="Bookman Old Style"/>
          <w:color w:val="000000"/>
        </w:rPr>
        <w:t>excising</w:t>
      </w:r>
      <w:proofErr w:type="gramEnd"/>
      <w:r w:rsidRPr="006208CF">
        <w:rPr>
          <w:rFonts w:ascii="Bookman Old Style" w:hAnsi="Bookman Old Style"/>
          <w:color w:val="000000"/>
        </w:rPr>
        <w:t xml:space="preserve"> or infibulating, in whole or in part, the labia majora, labia minora, or clitoris of a female person. </w:t>
      </w:r>
    </w:p>
    <w:p w14:paraId="4AAA4AE7" w14:textId="77777777" w:rsidR="006208CF" w:rsidRPr="006208CF" w:rsidRDefault="006208CF" w:rsidP="006208CF">
      <w:pPr>
        <w:spacing w:after="220"/>
        <w:ind w:firstLine="720"/>
        <w:rPr>
          <w:rFonts w:ascii="Bookman Old Style" w:hAnsi="Bookman Old Style"/>
          <w:i/>
          <w:iCs/>
          <w:color w:val="000000"/>
        </w:rPr>
      </w:pPr>
      <w:r w:rsidRPr="006208CF">
        <w:rPr>
          <w:rFonts w:ascii="Bookman Old Style" w:hAnsi="Bookman Old Style"/>
          <w:color w:val="000000"/>
        </w:rPr>
        <w:t xml:space="preserve">The term “grossly abused” has not been defined for purposes of this statute either. However, </w:t>
      </w:r>
      <w:r w:rsidRPr="006208CF">
        <w:rPr>
          <w:rFonts w:ascii="Bookman Old Style" w:hAnsi="Bookman Old Style"/>
          <w:i/>
          <w:iCs/>
          <w:color w:val="000000"/>
        </w:rPr>
        <w:t xml:space="preserve">see </w:t>
      </w:r>
      <w:r w:rsidRPr="006208CF">
        <w:rPr>
          <w:rFonts w:ascii="Bookman Old Style" w:hAnsi="Bookman Old Style"/>
          <w:color w:val="000000"/>
        </w:rPr>
        <w:t xml:space="preserve">§ 825.102(2), Fla. Stat., defining aggravated abuse of an elderly person as occurring when a person commits an act on a victim that would constitute aggravated battery; willfully torturing, maliciously punishing, or willfully caging a victim; or knowingly abusing a victim and in so doing causing great bodily harm, permanent disability, or permanent disfigurement to the victim. </w:t>
      </w:r>
    </w:p>
    <w:p w14:paraId="00F768F1" w14:textId="5CEF19C5" w:rsidR="00994644" w:rsidRPr="009E1728" w:rsidRDefault="006208CF" w:rsidP="006208CF">
      <w:pPr>
        <w:spacing w:after="220"/>
        <w:ind w:firstLine="720"/>
      </w:pPr>
      <w:r w:rsidRPr="006208CF">
        <w:rPr>
          <w:rFonts w:ascii="Bookman Old Style" w:hAnsi="Bookman Old Style"/>
          <w:color w:val="000000"/>
        </w:rPr>
        <w:t>This instruction was adopted on December 21, 2022.</w:t>
      </w:r>
    </w:p>
    <w:sectPr w:rsidR="00994644" w:rsidRPr="009E1728">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AC2"/>
    <w:multiLevelType w:val="hybridMultilevel"/>
    <w:tmpl w:val="FFFFFFFF"/>
    <w:lvl w:ilvl="0" w:tplc="7CBA87D2">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037DB9"/>
    <w:multiLevelType w:val="hybridMultilevel"/>
    <w:tmpl w:val="FFFFFFFF"/>
    <w:lvl w:ilvl="0" w:tplc="7360A46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5BD8429E"/>
    <w:multiLevelType w:val="hybridMultilevel"/>
    <w:tmpl w:val="FFFFFFFF"/>
    <w:lvl w:ilvl="0" w:tplc="8F9CD9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89723">
    <w:abstractNumId w:val="2"/>
  </w:num>
  <w:num w:numId="2" w16cid:durableId="900824998">
    <w:abstractNumId w:val="0"/>
  </w:num>
  <w:num w:numId="3" w16cid:durableId="117716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CB"/>
    <w:rsid w:val="00045E0C"/>
    <w:rsid w:val="00157C8D"/>
    <w:rsid w:val="001A7165"/>
    <w:rsid w:val="001B0AE6"/>
    <w:rsid w:val="001D17FA"/>
    <w:rsid w:val="001E7951"/>
    <w:rsid w:val="002538EC"/>
    <w:rsid w:val="002C6DDD"/>
    <w:rsid w:val="004374FF"/>
    <w:rsid w:val="004461C2"/>
    <w:rsid w:val="004E1ADD"/>
    <w:rsid w:val="004E45E3"/>
    <w:rsid w:val="004E6A09"/>
    <w:rsid w:val="005F66D6"/>
    <w:rsid w:val="0061202F"/>
    <w:rsid w:val="006208CF"/>
    <w:rsid w:val="006225BE"/>
    <w:rsid w:val="006F5068"/>
    <w:rsid w:val="00715598"/>
    <w:rsid w:val="0080714C"/>
    <w:rsid w:val="008C69D7"/>
    <w:rsid w:val="009119AE"/>
    <w:rsid w:val="00994644"/>
    <w:rsid w:val="009E1728"/>
    <w:rsid w:val="00A325CB"/>
    <w:rsid w:val="00A86E3F"/>
    <w:rsid w:val="00C32FF2"/>
    <w:rsid w:val="00C339D1"/>
    <w:rsid w:val="00CB464F"/>
    <w:rsid w:val="00D07EC3"/>
    <w:rsid w:val="00D2142A"/>
    <w:rsid w:val="00D37218"/>
    <w:rsid w:val="00D93362"/>
    <w:rsid w:val="00DA279A"/>
    <w:rsid w:val="00DB7510"/>
    <w:rsid w:val="00DC3B24"/>
    <w:rsid w:val="00DD28CA"/>
    <w:rsid w:val="00E64DE3"/>
    <w:rsid w:val="00EB6C6A"/>
    <w:rsid w:val="00F1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0C1F6"/>
  <w14:defaultImageDpi w14:val="96"/>
  <w15:docId w15:val="{5F8DED8F-29F8-4295-86AD-57A6F547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3">
    <w:name w:val="heading 3"/>
    <w:basedOn w:val="Normal"/>
    <w:next w:val="Normal"/>
    <w:link w:val="Heading3Char"/>
    <w:uiPriority w:val="9"/>
    <w:semiHidden/>
    <w:unhideWhenUsed/>
    <w:qFormat/>
    <w:rsid w:val="006208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80714C"/>
    <w:pPr>
      <w:pBdr>
        <w:top w:val="single" w:sz="24" w:space="0" w:color="E7E6E6"/>
        <w:left w:val="single" w:sz="24" w:space="0" w:color="E7E6E6"/>
        <w:bottom w:val="single" w:sz="24" w:space="0" w:color="E7E6E6"/>
        <w:right w:val="single" w:sz="24" w:space="0" w:color="E7E6E6"/>
      </w:pBdr>
      <w:shd w:val="clear" w:color="auto" w:fill="E7E6E6"/>
      <w:spacing w:before="100" w:after="0" w:line="276" w:lineRule="auto"/>
      <w:jc w:val="center"/>
      <w:outlineLvl w:val="3"/>
    </w:pPr>
    <w:rPr>
      <w:rFonts w:ascii="Bookman Old Style" w:hAnsi="Bookman Old Style"/>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80714C"/>
    <w:rPr>
      <w:rFonts w:ascii="Bookman Old Style" w:hAnsi="Bookman Old Style" w:cs="Times New Roman"/>
      <w:b/>
      <w:caps/>
      <w:sz w:val="22"/>
      <w:shd w:val="clear" w:color="auto" w:fill="E7E6E6"/>
    </w:rPr>
  </w:style>
  <w:style w:type="paragraph" w:styleId="ListParagraph">
    <w:name w:val="List Paragraph"/>
    <w:basedOn w:val="Normal"/>
    <w:uiPriority w:val="34"/>
    <w:qFormat/>
    <w:rsid w:val="00A325CB"/>
    <w:pPr>
      <w:ind w:left="720"/>
      <w:contextualSpacing/>
    </w:pPr>
  </w:style>
  <w:style w:type="paragraph" w:customStyle="1" w:styleId="SJITableText">
    <w:name w:val="SJI Table Text"/>
    <w:basedOn w:val="Normal"/>
    <w:qFormat/>
    <w:rsid w:val="0080714C"/>
    <w:pPr>
      <w:widowControl w:val="0"/>
      <w:autoSpaceDE w:val="0"/>
      <w:autoSpaceDN w:val="0"/>
      <w:adjustRightInd w:val="0"/>
      <w:spacing w:after="0" w:line="240" w:lineRule="auto"/>
    </w:pPr>
    <w:rPr>
      <w:rFonts w:ascii="Bookman Old Style" w:hAnsi="Bookman Old Style"/>
      <w:bCs/>
      <w:szCs w:val="20"/>
    </w:rPr>
  </w:style>
  <w:style w:type="paragraph" w:customStyle="1" w:styleId="SJIComments">
    <w:name w:val="SJI Comments"/>
    <w:basedOn w:val="Normal"/>
    <w:qFormat/>
    <w:rsid w:val="0080714C"/>
    <w:pPr>
      <w:spacing w:before="220" w:after="220"/>
      <w:jc w:val="center"/>
    </w:pPr>
    <w:rPr>
      <w:rFonts w:ascii="Bookman Old Style" w:hAnsi="Bookman Old Style" w:cs="Courier New"/>
      <w:b/>
    </w:rPr>
  </w:style>
  <w:style w:type="table" w:customStyle="1" w:styleId="TableGrid1">
    <w:name w:val="Table Grid1"/>
    <w:basedOn w:val="TableNormal"/>
    <w:next w:val="TableGrid"/>
    <w:uiPriority w:val="99"/>
    <w:rsid w:val="0080714C"/>
    <w:pPr>
      <w:widowControl w:val="0"/>
      <w:autoSpaceDE w:val="0"/>
      <w:autoSpaceDN w:val="0"/>
      <w:adjustRightInd w:val="0"/>
    </w:pPr>
    <w:rPr>
      <w:rFonts w:ascii="Bookman Old Style" w:hAnsi="Bookman Old Style"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2"/>
      </w:rPr>
    </w:tblStylePr>
  </w:style>
  <w:style w:type="table" w:styleId="TableGrid">
    <w:name w:val="Table Grid"/>
    <w:basedOn w:val="TableNormal"/>
    <w:uiPriority w:val="39"/>
    <w:rsid w:val="008071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Italic">
    <w:name w:val="SJI Text Italic"/>
    <w:basedOn w:val="Normal"/>
    <w:qFormat/>
    <w:locked/>
    <w:rsid w:val="00D2142A"/>
    <w:pPr>
      <w:tabs>
        <w:tab w:val="left" w:pos="720"/>
      </w:tabs>
      <w:suppressAutoHyphens/>
      <w:spacing w:after="0"/>
      <w:ind w:firstLine="720"/>
    </w:pPr>
    <w:rPr>
      <w:rFonts w:ascii="Bookman Old Style" w:hAnsi="Bookman Old Style"/>
      <w:i/>
      <w:iCs/>
      <w:szCs w:val="24"/>
    </w:rPr>
  </w:style>
  <w:style w:type="character" w:customStyle="1" w:styleId="Heading3Char">
    <w:name w:val="Heading 3 Char"/>
    <w:basedOn w:val="DefaultParagraphFont"/>
    <w:link w:val="Heading3"/>
    <w:uiPriority w:val="9"/>
    <w:semiHidden/>
    <w:rsid w:val="006208CF"/>
    <w:rPr>
      <w:rFonts w:asciiTheme="majorHAnsi" w:eastAsiaTheme="majorEastAsia" w:hAnsiTheme="majorHAnsi" w:cstheme="majorBidi"/>
      <w:color w:val="1F3763" w:themeColor="accent1" w:themeShade="7F"/>
      <w:sz w:val="24"/>
      <w:szCs w:val="24"/>
    </w:rPr>
  </w:style>
  <w:style w:type="table" w:customStyle="1" w:styleId="TableGrid11">
    <w:name w:val="Table Grid11"/>
    <w:basedOn w:val="TableNormal"/>
    <w:next w:val="TableGrid"/>
    <w:uiPriority w:val="99"/>
    <w:rsid w:val="006208CF"/>
    <w:pPr>
      <w:widowControl w:val="0"/>
      <w:autoSpaceDE w:val="0"/>
      <w:autoSpaceDN w:val="0"/>
      <w:adjustRightInd w:val="0"/>
    </w:pPr>
    <w:rPr>
      <w:rFonts w:ascii="Bookman Old Style" w:hAnsi="Bookman Old Style"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3065</Characters>
  <Application>Microsoft Office Word</Application>
  <DocSecurity>0</DocSecurity>
  <Lines>76</Lines>
  <Paragraphs>41</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Trawick, Daryl</dc:creator>
  <cp:keywords/>
  <dc:description/>
  <cp:lastModifiedBy>Ray, Susan D</cp:lastModifiedBy>
  <cp:revision>7</cp:revision>
  <dcterms:created xsi:type="dcterms:W3CDTF">2024-09-23T19:34:00Z</dcterms:created>
  <dcterms:modified xsi:type="dcterms:W3CDTF">2024-09-24T21:20:00Z</dcterms:modified>
</cp:coreProperties>
</file>