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1608" w14:textId="77777777" w:rsidR="006126EE" w:rsidRPr="006606E8" w:rsidRDefault="006126EE" w:rsidP="006126EE">
      <w:pPr>
        <w:pStyle w:val="Heading3"/>
      </w:pPr>
      <w:bookmarkStart w:id="0" w:name="_Toc109650882"/>
      <w:bookmarkStart w:id="1" w:name="_Toc110240208"/>
      <w:bookmarkStart w:id="2" w:name="_Toc110933952"/>
      <w:r w:rsidRPr="006606E8">
        <w:t>28.4(</w:t>
      </w:r>
      <w:r w:rsidRPr="006606E8">
        <w:rPr>
          <w:caps w:val="0"/>
        </w:rPr>
        <w:t>b</w:t>
      </w:r>
      <w:r w:rsidRPr="006606E8">
        <w:t>) LEAVING THE SCENE OF A CRASH INVOLVING DAMAGE TO AN UNATTENDED VEHICLE OR UNATTENDED PROPERTY</w:t>
      </w:r>
      <w:bookmarkEnd w:id="0"/>
      <w:bookmarkEnd w:id="1"/>
      <w:bookmarkEnd w:id="2"/>
      <w:r w:rsidRPr="006606E8">
        <w:t xml:space="preserve"> </w:t>
      </w:r>
    </w:p>
    <w:p w14:paraId="745929EA" w14:textId="77777777" w:rsidR="006126EE" w:rsidRPr="006606E8" w:rsidRDefault="006126EE" w:rsidP="006126EE">
      <w:pPr>
        <w:pStyle w:val="SJIStatuteinTitle"/>
      </w:pPr>
      <w:r w:rsidRPr="006606E8">
        <w:t>§ 316.063(1), Fla. Stat.</w:t>
      </w:r>
    </w:p>
    <w:p w14:paraId="1BA9DD56" w14:textId="77777777" w:rsidR="006126EE" w:rsidRPr="006606E8" w:rsidRDefault="006126EE" w:rsidP="006126EE">
      <w:pPr>
        <w:autoSpaceDE w:val="0"/>
        <w:autoSpaceDN w:val="0"/>
        <w:adjustRightInd w:val="0"/>
        <w:rPr>
          <w:b/>
          <w:color w:val="000000"/>
        </w:rPr>
      </w:pPr>
      <w:r w:rsidRPr="006606E8">
        <w:rPr>
          <w:b/>
          <w:color w:val="000000"/>
        </w:rPr>
        <w:t>To prove the crime of Leaving the Scene of a Crash Involving Damage to an Unattended Vehicle or Unattended Property, the State must prove the following four elements beyond a reasonable doubt:</w:t>
      </w:r>
    </w:p>
    <w:p w14:paraId="5E9CF24C" w14:textId="77777777" w:rsidR="006126EE" w:rsidRPr="006606E8" w:rsidRDefault="006126EE" w:rsidP="006126EE">
      <w:pPr>
        <w:autoSpaceDE w:val="0"/>
        <w:autoSpaceDN w:val="0"/>
        <w:adjustRightInd w:val="0"/>
        <w:ind w:left="1152" w:hanging="432"/>
        <w:rPr>
          <w:b/>
          <w:color w:val="000000"/>
        </w:rPr>
      </w:pPr>
      <w:r w:rsidRPr="006606E8">
        <w:rPr>
          <w:b/>
          <w:color w:val="000000"/>
        </w:rPr>
        <w:t>1.</w:t>
      </w:r>
      <w:r w:rsidRPr="006606E8">
        <w:rPr>
          <w:b/>
          <w:color w:val="000000"/>
        </w:rPr>
        <w:tab/>
      </w:r>
      <w:r w:rsidRPr="006606E8">
        <w:rPr>
          <w:color w:val="000000"/>
        </w:rPr>
        <w:t>(Defendant)</w:t>
      </w:r>
      <w:r w:rsidRPr="006606E8">
        <w:rPr>
          <w:b/>
          <w:color w:val="000000"/>
        </w:rPr>
        <w:t xml:space="preserve"> was the driver of a vehicle involved in a crash or collision.</w:t>
      </w:r>
    </w:p>
    <w:p w14:paraId="46084771" w14:textId="77777777" w:rsidR="006126EE" w:rsidRPr="006606E8" w:rsidRDefault="006126EE" w:rsidP="006126EE">
      <w:pPr>
        <w:autoSpaceDE w:val="0"/>
        <w:autoSpaceDN w:val="0"/>
        <w:adjustRightInd w:val="0"/>
        <w:ind w:left="1152" w:hanging="432"/>
        <w:rPr>
          <w:b/>
          <w:color w:val="000000"/>
        </w:rPr>
      </w:pPr>
      <w:r w:rsidRPr="006606E8">
        <w:rPr>
          <w:b/>
          <w:color w:val="000000"/>
        </w:rPr>
        <w:t>2.</w:t>
      </w:r>
      <w:r w:rsidRPr="006606E8">
        <w:rPr>
          <w:b/>
          <w:color w:val="000000"/>
        </w:rPr>
        <w:tab/>
        <w:t>The crash or collision resulted in damage to another vehicle or other property.</w:t>
      </w:r>
    </w:p>
    <w:p w14:paraId="46A9A13A" w14:textId="77777777" w:rsidR="006126EE" w:rsidRPr="006606E8" w:rsidRDefault="006126EE" w:rsidP="006126EE">
      <w:pPr>
        <w:autoSpaceDE w:val="0"/>
        <w:autoSpaceDN w:val="0"/>
        <w:adjustRightInd w:val="0"/>
        <w:ind w:left="1152" w:hanging="432"/>
        <w:rPr>
          <w:b/>
          <w:color w:val="000000"/>
        </w:rPr>
      </w:pPr>
      <w:r w:rsidRPr="006606E8">
        <w:rPr>
          <w:b/>
          <w:color w:val="000000"/>
        </w:rPr>
        <w:t>3.</w:t>
      </w:r>
      <w:r w:rsidRPr="006606E8">
        <w:rPr>
          <w:b/>
          <w:color w:val="000000"/>
        </w:rPr>
        <w:tab/>
        <w:t>The vehicle or other property was not driven or attended by any person.</w:t>
      </w:r>
    </w:p>
    <w:p w14:paraId="749B0C7A" w14:textId="77777777" w:rsidR="006126EE" w:rsidRPr="006606E8" w:rsidRDefault="006126EE" w:rsidP="006126EE">
      <w:pPr>
        <w:autoSpaceDE w:val="0"/>
        <w:autoSpaceDN w:val="0"/>
        <w:adjustRightInd w:val="0"/>
        <w:ind w:left="1152" w:hanging="432"/>
        <w:rPr>
          <w:b/>
          <w:color w:val="000000"/>
        </w:rPr>
      </w:pPr>
      <w:r w:rsidRPr="006606E8">
        <w:rPr>
          <w:b/>
          <w:color w:val="000000"/>
        </w:rPr>
        <w:t>4.</w:t>
      </w:r>
      <w:r w:rsidRPr="006606E8">
        <w:rPr>
          <w:b/>
          <w:color w:val="000000"/>
        </w:rPr>
        <w:tab/>
      </w:r>
      <w:r w:rsidRPr="006606E8">
        <w:rPr>
          <w:color w:val="000000"/>
        </w:rPr>
        <w:t>(Defendant)</w:t>
      </w:r>
      <w:r w:rsidRPr="006606E8">
        <w:rPr>
          <w:b/>
          <w:color w:val="000000"/>
        </w:rPr>
        <w:t xml:space="preserve"> failed to immediately stop at the scene of the crash or collision and then and there either</w:t>
      </w:r>
    </w:p>
    <w:p w14:paraId="7B3A9F6D" w14:textId="77777777" w:rsidR="006126EE" w:rsidRPr="006606E8" w:rsidRDefault="006126EE" w:rsidP="006126EE">
      <w:pPr>
        <w:autoSpaceDE w:val="0"/>
        <w:autoSpaceDN w:val="0"/>
        <w:adjustRightInd w:val="0"/>
        <w:ind w:left="1710" w:hanging="540"/>
        <w:rPr>
          <w:b/>
        </w:rPr>
      </w:pPr>
      <w:r w:rsidRPr="006606E8">
        <w:rPr>
          <w:b/>
        </w:rPr>
        <w:t>a.</w:t>
      </w:r>
      <w:r w:rsidRPr="006606E8">
        <w:rPr>
          <w:b/>
        </w:rPr>
        <w:tab/>
        <w:t>locate and notify the operator or owner of the vehicle or other property of [his] [her] name and address and the registration number of the vehicle [he] [she] was driving, or</w:t>
      </w:r>
    </w:p>
    <w:p w14:paraId="13030339" w14:textId="77777777" w:rsidR="006126EE" w:rsidRPr="006606E8" w:rsidRDefault="006126EE" w:rsidP="006126EE">
      <w:pPr>
        <w:widowControl w:val="0"/>
        <w:autoSpaceDE w:val="0"/>
        <w:autoSpaceDN w:val="0"/>
        <w:adjustRightInd w:val="0"/>
        <w:ind w:left="1710" w:right="720" w:hanging="540"/>
        <w:rPr>
          <w:b/>
        </w:rPr>
      </w:pPr>
      <w:r w:rsidRPr="006606E8">
        <w:rPr>
          <w:b/>
        </w:rPr>
        <w:t>b.</w:t>
      </w:r>
      <w:r w:rsidRPr="006606E8">
        <w:rPr>
          <w:b/>
        </w:rPr>
        <w:tab/>
        <w:t>attach securely in a conspicuous place in or on the vehicle or other property a written notice giving [his] [her] name and address and the registration number of the vehicle [he] [she] was driving, and, without unnecessary delay, notify the nearest office of a duly authorized police authority.</w:t>
      </w:r>
    </w:p>
    <w:p w14:paraId="758F570B" w14:textId="77777777" w:rsidR="003E0619" w:rsidRPr="003E0619" w:rsidRDefault="003E0619" w:rsidP="003E0619">
      <w:pPr>
        <w:tabs>
          <w:tab w:val="left" w:pos="720"/>
        </w:tabs>
        <w:suppressAutoHyphens/>
        <w:spacing w:after="0" w:line="256" w:lineRule="auto"/>
        <w:rPr>
          <w:rFonts w:cs="Times New Roman"/>
          <w:i/>
          <w:iCs/>
          <w:szCs w:val="24"/>
        </w:rPr>
      </w:pPr>
      <w:r w:rsidRPr="003E0619">
        <w:rPr>
          <w:rFonts w:cs="Times New Roman"/>
          <w:i/>
          <w:iCs/>
          <w:szCs w:val="24"/>
        </w:rPr>
        <w:t>Gaulden v. State, 195 So. 3d 1123 (Fla. 2016); State v. Elder, 975 So.2d 481 (Fla. 2d DCA 2007).</w:t>
      </w:r>
    </w:p>
    <w:p w14:paraId="170B313E" w14:textId="77777777" w:rsidR="003E0619" w:rsidRPr="003E0619" w:rsidRDefault="003E0619" w:rsidP="003E0619">
      <w:pPr>
        <w:spacing w:line="256" w:lineRule="auto"/>
        <w:rPr>
          <w:b/>
          <w:bCs/>
        </w:rPr>
      </w:pPr>
      <w:r w:rsidRPr="003E0619">
        <w:rPr>
          <w:b/>
          <w:bCs/>
        </w:rPr>
        <w:t>For the defendant to be “involved in a crash,” a vehicle, though not necessarily the defendant’s vehicle, must collide with another vehicle, person, or object.</w:t>
      </w:r>
    </w:p>
    <w:p w14:paraId="236CCEE6" w14:textId="77777777" w:rsidR="003E0619" w:rsidRPr="003E0619" w:rsidRDefault="003E0619" w:rsidP="003E0619">
      <w:pPr>
        <w:spacing w:after="0" w:line="256" w:lineRule="auto"/>
        <w:rPr>
          <w:i/>
          <w:iCs/>
        </w:rPr>
      </w:pPr>
      <w:r w:rsidRPr="003E0619">
        <w:rPr>
          <w:i/>
          <w:iCs/>
        </w:rPr>
        <w:t xml:space="preserve">Give if applicable. State v. Elder, 975 So.2d 481 (Fla. 2d DCA 2007). </w:t>
      </w:r>
    </w:p>
    <w:p w14:paraId="204A09F3" w14:textId="77777777" w:rsidR="003E0619" w:rsidRPr="003E0619" w:rsidRDefault="003E0619" w:rsidP="003E0619">
      <w:pPr>
        <w:spacing w:line="256" w:lineRule="auto"/>
        <w:rPr>
          <w:b/>
          <w:bCs/>
        </w:rPr>
      </w:pPr>
      <w:r w:rsidRPr="003E0619">
        <w:rPr>
          <w:b/>
          <w:bCs/>
        </w:rPr>
        <w:t xml:space="preserve">“Involved” means to draw in as a participant, to implicate, to relate closely, to connect, to </w:t>
      </w:r>
      <w:proofErr w:type="gramStart"/>
      <w:r w:rsidRPr="003E0619">
        <w:rPr>
          <w:b/>
          <w:bCs/>
        </w:rPr>
        <w:t>have an effect on</w:t>
      </w:r>
      <w:proofErr w:type="gramEnd"/>
      <w:r w:rsidRPr="003E0619">
        <w:rPr>
          <w:b/>
          <w:bCs/>
        </w:rPr>
        <w:t>, to concern directly, or to affect.</w:t>
      </w:r>
    </w:p>
    <w:p w14:paraId="66000F3F" w14:textId="752326EF" w:rsidR="006126EE" w:rsidRPr="006606E8" w:rsidRDefault="006126EE" w:rsidP="006126EE">
      <w:pPr>
        <w:pStyle w:val="SJITextItalic"/>
      </w:pPr>
      <w:r w:rsidRPr="006606E8">
        <w:t>§ 316.003, Fla. Stat. Some of these terms have their own statutory definitions, which should be given if necessary.</w:t>
      </w:r>
    </w:p>
    <w:p w14:paraId="2B55CED0" w14:textId="11E17BFD" w:rsidR="00B56A6F" w:rsidRDefault="006126EE" w:rsidP="006126EE">
      <w:pPr>
        <w:autoSpaceDE w:val="0"/>
        <w:autoSpaceDN w:val="0"/>
        <w:adjustRightInd w:val="0"/>
        <w:rPr>
          <w:b/>
          <w:color w:val="000000"/>
        </w:rPr>
      </w:pPr>
      <w:r w:rsidRPr="006606E8">
        <w:rPr>
          <w:b/>
          <w:color w:val="000000"/>
        </w:rPr>
        <w:t xml:space="preserve">“Vehicle” means every device, in, upon, or by which any person or property is or may be transported or drawn upon a </w:t>
      </w:r>
      <w:proofErr w:type="gramStart"/>
      <w:r w:rsidRPr="006606E8">
        <w:rPr>
          <w:b/>
          <w:color w:val="000000"/>
        </w:rPr>
        <w:t>highway[</w:t>
      </w:r>
      <w:proofErr w:type="gramEnd"/>
      <w:r w:rsidRPr="006606E8">
        <w:rPr>
          <w:b/>
          <w:color w:val="000000"/>
        </w:rPr>
        <w:t>, except personal delivery devices, mobile carriers, and devices used exclusively upon stationary rails or tracks].</w:t>
      </w:r>
    </w:p>
    <w:p w14:paraId="125E438C" w14:textId="77777777" w:rsidR="00B56A6F" w:rsidRDefault="00B56A6F">
      <w:pPr>
        <w:spacing w:after="160"/>
        <w:ind w:firstLine="0"/>
        <w:rPr>
          <w:b/>
          <w:color w:val="000000"/>
        </w:rPr>
      </w:pPr>
      <w:r>
        <w:rPr>
          <w:b/>
          <w:color w:val="000000"/>
        </w:rPr>
        <w:br w:type="page"/>
      </w:r>
    </w:p>
    <w:p w14:paraId="15EBBCC2" w14:textId="77777777" w:rsidR="006126EE" w:rsidRPr="006606E8" w:rsidRDefault="006126EE" w:rsidP="006126EE">
      <w:pPr>
        <w:pStyle w:val="SJIComments"/>
      </w:pPr>
      <w:r w:rsidRPr="006606E8">
        <w:lastRenderedPageBreak/>
        <w:t>Lesser Included Offense</w:t>
      </w:r>
    </w:p>
    <w:p w14:paraId="0FB524FD" w14:textId="77777777" w:rsidR="006126EE" w:rsidRPr="006606E8" w:rsidRDefault="006126EE" w:rsidP="006126EE">
      <w:pPr>
        <w:pStyle w:val="Heading4"/>
      </w:pPr>
      <w:bookmarkStart w:id="3" w:name="_Toc109650883"/>
      <w:r w:rsidRPr="006606E8">
        <w:t>LEAVING THE SCENE OF A CRASH INVOLVING DAMAGE TO AN UNATTENDED VEHICLE OR UNATTENDED PROPERTY</w:t>
      </w:r>
      <w:r w:rsidRPr="006606E8">
        <w:rPr>
          <w:color w:val="000000"/>
        </w:rPr>
        <w:t>—316.063(1)</w:t>
      </w:r>
      <w:bookmarkEnd w:id="3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6126EE" w:rsidRPr="006606E8" w14:paraId="5E80E5DF" w14:textId="77777777" w:rsidTr="008D2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3358AE77" w14:textId="77777777" w:rsidR="006126EE" w:rsidRPr="006606E8" w:rsidRDefault="006126EE" w:rsidP="008D2587">
            <w:pPr>
              <w:pStyle w:val="SJITableText"/>
            </w:pPr>
            <w:r w:rsidRPr="006606E8">
              <w:t>CATEGORY ONE</w:t>
            </w:r>
          </w:p>
        </w:tc>
        <w:tc>
          <w:tcPr>
            <w:tcW w:w="1600" w:type="pct"/>
          </w:tcPr>
          <w:p w14:paraId="6C29D9AE" w14:textId="77777777" w:rsidR="006126EE" w:rsidRPr="006606E8" w:rsidRDefault="006126EE" w:rsidP="008D2587">
            <w:pPr>
              <w:pStyle w:val="SJITableText"/>
            </w:pPr>
            <w:r w:rsidRPr="006606E8">
              <w:t>CATEGORY TWO</w:t>
            </w:r>
          </w:p>
        </w:tc>
        <w:tc>
          <w:tcPr>
            <w:tcW w:w="1050" w:type="pct"/>
          </w:tcPr>
          <w:p w14:paraId="1C90C8DF" w14:textId="77777777" w:rsidR="006126EE" w:rsidRPr="006606E8" w:rsidRDefault="006126EE" w:rsidP="008D2587">
            <w:pPr>
              <w:pStyle w:val="SJITableText"/>
            </w:pPr>
            <w:r w:rsidRPr="006606E8">
              <w:t>FLA. STAT.</w:t>
            </w:r>
          </w:p>
        </w:tc>
        <w:tc>
          <w:tcPr>
            <w:tcW w:w="750" w:type="pct"/>
          </w:tcPr>
          <w:p w14:paraId="7976D2C6" w14:textId="77777777" w:rsidR="006126EE" w:rsidRPr="006606E8" w:rsidRDefault="006126EE" w:rsidP="008D2587">
            <w:pPr>
              <w:pStyle w:val="SJITableText"/>
            </w:pPr>
            <w:r w:rsidRPr="006606E8">
              <w:t>INS. NO.</w:t>
            </w:r>
          </w:p>
        </w:tc>
      </w:tr>
      <w:tr w:rsidR="006126EE" w:rsidRPr="006606E8" w14:paraId="2B2FC286" w14:textId="77777777" w:rsidTr="008D2587">
        <w:tc>
          <w:tcPr>
            <w:tcW w:w="1599" w:type="pct"/>
          </w:tcPr>
          <w:p w14:paraId="11FF843D" w14:textId="77777777" w:rsidR="006126EE" w:rsidRPr="006606E8" w:rsidRDefault="006126EE" w:rsidP="008D2587">
            <w:pPr>
              <w:pStyle w:val="SJITableText"/>
            </w:pPr>
            <w:r w:rsidRPr="006606E8">
              <w:t>None</w:t>
            </w:r>
          </w:p>
        </w:tc>
        <w:tc>
          <w:tcPr>
            <w:tcW w:w="1600" w:type="pct"/>
          </w:tcPr>
          <w:p w14:paraId="1280E50A" w14:textId="77777777" w:rsidR="006126EE" w:rsidRPr="006606E8" w:rsidRDefault="006126EE" w:rsidP="008D2587">
            <w:pPr>
              <w:pStyle w:val="SJITableText"/>
            </w:pPr>
          </w:p>
        </w:tc>
        <w:tc>
          <w:tcPr>
            <w:tcW w:w="1050" w:type="pct"/>
          </w:tcPr>
          <w:p w14:paraId="75DF720B" w14:textId="77777777" w:rsidR="006126EE" w:rsidRPr="006606E8" w:rsidRDefault="006126EE" w:rsidP="008D2587">
            <w:pPr>
              <w:pStyle w:val="SJITableText"/>
            </w:pPr>
          </w:p>
        </w:tc>
        <w:tc>
          <w:tcPr>
            <w:tcW w:w="750" w:type="pct"/>
          </w:tcPr>
          <w:p w14:paraId="1826FFCB" w14:textId="77777777" w:rsidR="006126EE" w:rsidRPr="006606E8" w:rsidRDefault="006126EE" w:rsidP="008D2587">
            <w:pPr>
              <w:pStyle w:val="SJITableText"/>
            </w:pPr>
          </w:p>
        </w:tc>
      </w:tr>
      <w:tr w:rsidR="006126EE" w:rsidRPr="006606E8" w14:paraId="088BAB67" w14:textId="77777777" w:rsidTr="008D2587">
        <w:tc>
          <w:tcPr>
            <w:tcW w:w="1599" w:type="pct"/>
          </w:tcPr>
          <w:p w14:paraId="624655DC" w14:textId="77777777" w:rsidR="006126EE" w:rsidRPr="006606E8" w:rsidRDefault="006126EE" w:rsidP="008D2587">
            <w:pPr>
              <w:pStyle w:val="SJITableText"/>
            </w:pPr>
          </w:p>
        </w:tc>
        <w:tc>
          <w:tcPr>
            <w:tcW w:w="1600" w:type="pct"/>
          </w:tcPr>
          <w:p w14:paraId="3F58C831" w14:textId="77777777" w:rsidR="006126EE" w:rsidRPr="006606E8" w:rsidRDefault="006126EE" w:rsidP="008D2587">
            <w:pPr>
              <w:pStyle w:val="SJITableText"/>
            </w:pPr>
            <w:r w:rsidRPr="006606E8">
              <w:t xml:space="preserve">Attempt </w:t>
            </w:r>
          </w:p>
        </w:tc>
        <w:tc>
          <w:tcPr>
            <w:tcW w:w="1050" w:type="pct"/>
          </w:tcPr>
          <w:p w14:paraId="4C04CF86" w14:textId="77777777" w:rsidR="006126EE" w:rsidRPr="006606E8" w:rsidRDefault="006126EE" w:rsidP="008D2587">
            <w:pPr>
              <w:pStyle w:val="SJITableText"/>
            </w:pPr>
            <w:r w:rsidRPr="006606E8">
              <w:t>777.04(1)</w:t>
            </w:r>
          </w:p>
        </w:tc>
        <w:tc>
          <w:tcPr>
            <w:tcW w:w="750" w:type="pct"/>
          </w:tcPr>
          <w:p w14:paraId="6F9A2BB5" w14:textId="77777777" w:rsidR="006126EE" w:rsidRPr="006606E8" w:rsidRDefault="006126EE" w:rsidP="008D2587">
            <w:pPr>
              <w:pStyle w:val="SJITableText"/>
            </w:pPr>
            <w:r w:rsidRPr="006606E8">
              <w:t>5.1</w:t>
            </w:r>
          </w:p>
        </w:tc>
      </w:tr>
    </w:tbl>
    <w:p w14:paraId="0B8F2685" w14:textId="77777777" w:rsidR="006126EE" w:rsidRPr="006606E8" w:rsidRDefault="006126EE" w:rsidP="006126EE">
      <w:pPr>
        <w:pStyle w:val="SJIComments"/>
      </w:pPr>
      <w:r w:rsidRPr="006606E8">
        <w:t>Comments</w:t>
      </w:r>
    </w:p>
    <w:p w14:paraId="0009F5C3" w14:textId="6A8E14EF" w:rsidR="006126EE" w:rsidRPr="003E0619" w:rsidRDefault="006126EE" w:rsidP="006126EE">
      <w:pPr>
        <w:autoSpaceDE w:val="0"/>
        <w:autoSpaceDN w:val="0"/>
        <w:adjustRightInd w:val="0"/>
        <w:rPr>
          <w:color w:val="000000"/>
        </w:rPr>
      </w:pPr>
      <w:r w:rsidRPr="003E0619">
        <w:rPr>
          <w:color w:val="000000"/>
        </w:rPr>
        <w:t xml:space="preserve">As of </w:t>
      </w:r>
      <w:r w:rsidR="003E0619" w:rsidRPr="003E0619">
        <w:rPr>
          <w:color w:val="000000"/>
        </w:rPr>
        <w:t>November</w:t>
      </w:r>
      <w:r w:rsidR="006D4536" w:rsidRPr="003E0619">
        <w:rPr>
          <w:color w:val="000000"/>
        </w:rPr>
        <w:t xml:space="preserve"> 2023</w:t>
      </w:r>
      <w:r w:rsidRPr="003E0619">
        <w:rPr>
          <w:color w:val="000000"/>
        </w:rPr>
        <w:t xml:space="preserve">, there was no case law directly addressing the issue of whether the State must prove the defendant knew, or should have known, of either the crash or the property damage. </w:t>
      </w:r>
      <w:r w:rsidRPr="003E0619">
        <w:rPr>
          <w:i/>
          <w:color w:val="000000"/>
        </w:rPr>
        <w:t>Compare</w:t>
      </w:r>
      <w:r w:rsidRPr="003E0619">
        <w:rPr>
          <w:color w:val="000000"/>
        </w:rPr>
        <w:t xml:space="preserve"> </w:t>
      </w:r>
      <w:r w:rsidRPr="003E0619">
        <w:rPr>
          <w:i/>
          <w:color w:val="000000"/>
        </w:rPr>
        <w:t>State v. Dorsett</w:t>
      </w:r>
      <w:r w:rsidRPr="003E0619">
        <w:rPr>
          <w:color w:val="000000"/>
        </w:rPr>
        <w:t xml:space="preserve">, 158 So. 3d 557 (Fla. 2015), and </w:t>
      </w:r>
      <w:r w:rsidRPr="003E0619">
        <w:rPr>
          <w:i/>
          <w:color w:val="000000"/>
        </w:rPr>
        <w:t>Mancuso v. State</w:t>
      </w:r>
      <w:r w:rsidRPr="003E0619">
        <w:rPr>
          <w:color w:val="000000"/>
        </w:rPr>
        <w:t>, 652 So. 2d 370 (Fla. 1995), dealing with § 316.027, Fla. Stat., which, unlike § 316.063, Fla. Stat., contains an explicit willfulness requirement.</w:t>
      </w:r>
    </w:p>
    <w:p w14:paraId="6144549F" w14:textId="4C89721E" w:rsidR="009435D1" w:rsidRPr="003E0619" w:rsidRDefault="006126EE" w:rsidP="00BB7A53">
      <w:pPr>
        <w:autoSpaceDE w:val="0"/>
        <w:autoSpaceDN w:val="0"/>
        <w:adjustRightInd w:val="0"/>
      </w:pPr>
      <w:r w:rsidRPr="003E0619">
        <w:rPr>
          <w:color w:val="000000"/>
        </w:rPr>
        <w:t xml:space="preserve">This instruction was adopted in 2016 [192 So. 3d 1190] and amended in 2018 [236 So. 3d 244], 2019 [262 So. 3d 59], on October 2, 2020, </w:t>
      </w:r>
      <w:r w:rsidR="00284301" w:rsidRPr="003E0619">
        <w:rPr>
          <w:color w:val="000000"/>
        </w:rPr>
        <w:t xml:space="preserve">on </w:t>
      </w:r>
      <w:r w:rsidRPr="003E0619">
        <w:rPr>
          <w:color w:val="000000"/>
        </w:rPr>
        <w:t>April 1, 2022</w:t>
      </w:r>
      <w:r w:rsidR="006D4536" w:rsidRPr="003E0619">
        <w:rPr>
          <w:color w:val="000000"/>
        </w:rPr>
        <w:t xml:space="preserve">, and on </w:t>
      </w:r>
      <w:r w:rsidR="003E0619" w:rsidRPr="003E0619">
        <w:rPr>
          <w:color w:val="000000"/>
        </w:rPr>
        <w:t>December 15</w:t>
      </w:r>
      <w:r w:rsidR="006D4536" w:rsidRPr="003E0619">
        <w:rPr>
          <w:color w:val="000000"/>
        </w:rPr>
        <w:t>, 2023</w:t>
      </w:r>
      <w:r w:rsidR="00284301" w:rsidRPr="003E0619">
        <w:rPr>
          <w:color w:val="000000"/>
        </w:rPr>
        <w:t>.</w:t>
      </w:r>
    </w:p>
    <w:sectPr w:rsidR="009435D1" w:rsidRPr="003E0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670567760">
    <w:abstractNumId w:val="1"/>
  </w:num>
  <w:num w:numId="2" w16cid:durableId="1174339878">
    <w:abstractNumId w:val="0"/>
  </w:num>
  <w:num w:numId="3" w16cid:durableId="189287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EE"/>
    <w:rsid w:val="00185DFD"/>
    <w:rsid w:val="00276059"/>
    <w:rsid w:val="00284301"/>
    <w:rsid w:val="003E05DE"/>
    <w:rsid w:val="003E0619"/>
    <w:rsid w:val="005B346D"/>
    <w:rsid w:val="006126EE"/>
    <w:rsid w:val="006606E8"/>
    <w:rsid w:val="006D4536"/>
    <w:rsid w:val="007D1EBA"/>
    <w:rsid w:val="008D2587"/>
    <w:rsid w:val="009435D1"/>
    <w:rsid w:val="00AE7DEB"/>
    <w:rsid w:val="00B56A6F"/>
    <w:rsid w:val="00BB7A53"/>
    <w:rsid w:val="00BC31CB"/>
    <w:rsid w:val="00C16EC6"/>
    <w:rsid w:val="00C8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ABE89"/>
  <w14:defaultImageDpi w14:val="0"/>
  <w15:docId w15:val="{0722FE0D-EA12-4883-B2F9-1158225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EE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6EE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26EE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26EE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6126E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6126EE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126EE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6126EE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6126EE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6126EE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126EE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126EE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126EE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126EE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6126E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6126EE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6126EE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6126E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6126EE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6126EE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6126EE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6126EE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6126EE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6126E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6126E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6126EE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6126EE"/>
    <w:rPr>
      <w:b/>
    </w:rPr>
  </w:style>
  <w:style w:type="paragraph" w:customStyle="1" w:styleId="SJIText">
    <w:name w:val="SJI Text"/>
    <w:basedOn w:val="Normal"/>
    <w:next w:val="Normal"/>
    <w:qFormat/>
    <w:rsid w:val="006126EE"/>
    <w:rPr>
      <w:rFonts w:cs="Times New Roman"/>
    </w:rPr>
  </w:style>
  <w:style w:type="paragraph" w:customStyle="1" w:styleId="SJITableTitle">
    <w:name w:val="SJI Table Title"/>
    <w:basedOn w:val="Normal"/>
    <w:qFormat/>
    <w:rsid w:val="006126EE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6126EE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6126EE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6126EE"/>
    <w:pPr>
      <w:ind w:left="720"/>
    </w:pPr>
  </w:style>
  <w:style w:type="paragraph" w:customStyle="1" w:styleId="SJITableNotation">
    <w:name w:val="SJI Table Notation"/>
    <w:basedOn w:val="SJITableText"/>
    <w:qFormat/>
    <w:rsid w:val="006126EE"/>
    <w:pPr>
      <w:spacing w:before="120" w:after="240"/>
    </w:pPr>
  </w:style>
  <w:style w:type="character" w:customStyle="1" w:styleId="SJIUnderline">
    <w:name w:val="SJI Underline"/>
    <w:uiPriority w:val="1"/>
    <w:qFormat/>
    <w:rsid w:val="006126EE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6EE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6126EE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6126EE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6126EE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6EE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126EE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6EE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6126EE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6126EE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6E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126EE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6EE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473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Susan</cp:lastModifiedBy>
  <cp:revision>3</cp:revision>
  <dcterms:created xsi:type="dcterms:W3CDTF">2023-12-16T01:25:00Z</dcterms:created>
  <dcterms:modified xsi:type="dcterms:W3CDTF">2023-12-18T17:35:00Z</dcterms:modified>
</cp:coreProperties>
</file>