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E173" w14:textId="77777777" w:rsidR="00A707EF" w:rsidRPr="00C33901" w:rsidRDefault="00A707EF" w:rsidP="006816F9">
      <w:pPr>
        <w:pStyle w:val="Heading3"/>
        <w:rPr>
          <w:rFonts w:eastAsia="SimSun"/>
        </w:rPr>
      </w:pPr>
      <w:bookmarkStart w:id="0" w:name="_Hlk110933468"/>
      <w:r w:rsidRPr="00C33901">
        <w:rPr>
          <w:rFonts w:eastAsia="SimSun"/>
        </w:rPr>
        <w:t>25.15(</w:t>
      </w:r>
      <w:r w:rsidR="006816F9" w:rsidRPr="00C33901">
        <w:rPr>
          <w:rFonts w:eastAsia="SimSun"/>
          <w:caps w:val="0"/>
        </w:rPr>
        <w:t>a</w:t>
      </w:r>
      <w:r w:rsidRPr="00C33901">
        <w:rPr>
          <w:rFonts w:eastAsia="SimSun"/>
        </w:rPr>
        <w:t>) RETAIL SALE OF DRUG PARAPHERNALIA</w:t>
      </w:r>
    </w:p>
    <w:p w14:paraId="0ED3BC97" w14:textId="77777777" w:rsidR="00A707EF" w:rsidRPr="00C33901" w:rsidRDefault="00A707EF" w:rsidP="006816F9">
      <w:pPr>
        <w:pStyle w:val="SJIStatuteinTitle"/>
        <w:rPr>
          <w:rFonts w:eastAsia="SimSun"/>
        </w:rPr>
      </w:pPr>
      <w:r w:rsidRPr="00C33901">
        <w:rPr>
          <w:rFonts w:eastAsia="SimSun"/>
        </w:rPr>
        <w:t>§ 893.147(6), Fla. Stat.</w:t>
      </w:r>
    </w:p>
    <w:p w14:paraId="6BF6AF17" w14:textId="77777777" w:rsidR="00A707EF" w:rsidRPr="00C33901" w:rsidRDefault="00A707EF" w:rsidP="00C33901">
      <w:pPr>
        <w:autoSpaceDE w:val="0"/>
        <w:autoSpaceDN w:val="0"/>
        <w:adjustRightInd w:val="0"/>
        <w:rPr>
          <w:rFonts w:eastAsia="SimSun"/>
          <w:b/>
          <w:color w:val="000000"/>
        </w:rPr>
      </w:pPr>
      <w:r w:rsidRPr="00C33901">
        <w:rPr>
          <w:rFonts w:eastAsia="SimSun"/>
          <w:b/>
          <w:color w:val="000000"/>
        </w:rPr>
        <w:t>To prove the crime of Retail Sale of Drug Paraphernalia, the State must prove the following two elements beyond a reasonable doubt:</w:t>
      </w:r>
    </w:p>
    <w:p w14:paraId="71A7F512" w14:textId="77777777" w:rsidR="00A707EF" w:rsidRDefault="00A707EF" w:rsidP="006816F9">
      <w:pPr>
        <w:widowControl w:val="0"/>
        <w:numPr>
          <w:ilvl w:val="0"/>
          <w:numId w:val="1"/>
        </w:numPr>
        <w:autoSpaceDE w:val="0"/>
        <w:autoSpaceDN w:val="0"/>
        <w:adjustRightInd w:val="0"/>
        <w:ind w:left="1152" w:right="432" w:hanging="432"/>
        <w:rPr>
          <w:rFonts w:eastAsia="SimSun"/>
        </w:rPr>
      </w:pPr>
      <w:r w:rsidRPr="00C33901">
        <w:rPr>
          <w:rFonts w:eastAsia="SimSun"/>
        </w:rPr>
        <w:t xml:space="preserve">(Defendant) </w:t>
      </w:r>
      <w:r w:rsidRPr="00C33901">
        <w:rPr>
          <w:rFonts w:eastAsia="SimSun"/>
          <w:b/>
        </w:rPr>
        <w:t>knowingly and willfully [sold] [offered for sale] at retail one or more objects defined as drug paraphernalia.</w:t>
      </w:r>
      <w:r w:rsidR="00C33901">
        <w:rPr>
          <w:rFonts w:eastAsia="SimSun"/>
          <w:b/>
        </w:rPr>
        <w:t xml:space="preserve"> </w:t>
      </w:r>
    </w:p>
    <w:p w14:paraId="5371AD26" w14:textId="77777777" w:rsidR="00A707EF" w:rsidRPr="00C33901" w:rsidRDefault="00A707EF" w:rsidP="006816F9">
      <w:pPr>
        <w:widowControl w:val="0"/>
        <w:numPr>
          <w:ilvl w:val="0"/>
          <w:numId w:val="1"/>
        </w:numPr>
        <w:autoSpaceDE w:val="0"/>
        <w:autoSpaceDN w:val="0"/>
        <w:adjustRightInd w:val="0"/>
        <w:ind w:left="1152" w:right="432" w:hanging="432"/>
        <w:rPr>
          <w:rFonts w:eastAsia="SimSun"/>
          <w:b/>
        </w:rPr>
      </w:pPr>
      <w:r w:rsidRPr="00C33901">
        <w:rPr>
          <w:rFonts w:eastAsia="SimSun"/>
          <w:b/>
        </w:rPr>
        <w:t>The object[s] [was] [were]:</w:t>
      </w:r>
    </w:p>
    <w:p w14:paraId="4B0C5D27" w14:textId="77777777" w:rsidR="00A707EF" w:rsidRPr="006816F9" w:rsidRDefault="00A707EF" w:rsidP="006816F9">
      <w:pPr>
        <w:pStyle w:val="SJITextItalic"/>
      </w:pPr>
      <w:r w:rsidRPr="006816F9">
        <w:t xml:space="preserve">Give </w:t>
      </w:r>
      <w:r w:rsidR="008B5DCE" w:rsidRPr="006816F9">
        <w:t>as applicable. § 893.145(12)(a)–(c), (g)–</w:t>
      </w:r>
      <w:r w:rsidRPr="006816F9">
        <w:t>(m), Fla. Stat.</w:t>
      </w:r>
    </w:p>
    <w:p w14:paraId="345E6C8C" w14:textId="77777777" w:rsidR="00A707EF" w:rsidRPr="006816F9" w:rsidRDefault="00A707EF" w:rsidP="006816F9">
      <w:pPr>
        <w:pStyle w:val="ListParagraph"/>
        <w:numPr>
          <w:ilvl w:val="0"/>
          <w:numId w:val="4"/>
        </w:numPr>
        <w:rPr>
          <w:b/>
          <w:bCs/>
        </w:rPr>
      </w:pPr>
      <w:r w:rsidRPr="006816F9">
        <w:rPr>
          <w:b/>
          <w:bCs/>
        </w:rPr>
        <w:t>[a] metal, wooden, acrylic, glass, stone, plastic, or ceramic</w:t>
      </w:r>
      <w:r w:rsidR="008B5DCE" w:rsidRPr="006816F9">
        <w:rPr>
          <w:b/>
          <w:bCs/>
        </w:rPr>
        <w:t xml:space="preserve"> </w:t>
      </w:r>
      <w:r w:rsidRPr="006816F9">
        <w:rPr>
          <w:b/>
          <w:bCs/>
        </w:rPr>
        <w:t>pipe[s].</w:t>
      </w:r>
    </w:p>
    <w:p w14:paraId="2577065C" w14:textId="77777777" w:rsidR="00A707EF" w:rsidRPr="006816F9" w:rsidRDefault="00A707EF" w:rsidP="006816F9">
      <w:pPr>
        <w:pStyle w:val="ListParagraph"/>
        <w:numPr>
          <w:ilvl w:val="0"/>
          <w:numId w:val="4"/>
        </w:numPr>
        <w:rPr>
          <w:b/>
          <w:bCs/>
        </w:rPr>
      </w:pPr>
      <w:r w:rsidRPr="006816F9">
        <w:rPr>
          <w:b/>
          <w:bCs/>
        </w:rPr>
        <w:t>[a] water pipe[s].</w:t>
      </w:r>
    </w:p>
    <w:p w14:paraId="623BC68B" w14:textId="77777777" w:rsidR="00A707EF" w:rsidRPr="006816F9" w:rsidRDefault="00A707EF" w:rsidP="006816F9">
      <w:pPr>
        <w:pStyle w:val="ListParagraph"/>
        <w:numPr>
          <w:ilvl w:val="0"/>
          <w:numId w:val="4"/>
        </w:numPr>
        <w:rPr>
          <w:b/>
          <w:bCs/>
        </w:rPr>
      </w:pPr>
      <w:r w:rsidRPr="006816F9">
        <w:rPr>
          <w:b/>
          <w:bCs/>
        </w:rPr>
        <w:t>[a] carburetion tube[s] and device[s].</w:t>
      </w:r>
    </w:p>
    <w:p w14:paraId="2A3CBB82" w14:textId="77777777" w:rsidR="00A707EF" w:rsidRPr="006816F9" w:rsidRDefault="00A707EF" w:rsidP="006816F9">
      <w:pPr>
        <w:pStyle w:val="ListParagraph"/>
        <w:numPr>
          <w:ilvl w:val="0"/>
          <w:numId w:val="4"/>
        </w:numPr>
        <w:rPr>
          <w:b/>
          <w:bCs/>
        </w:rPr>
      </w:pPr>
      <w:r w:rsidRPr="006816F9">
        <w:rPr>
          <w:b/>
          <w:bCs/>
        </w:rPr>
        <w:t>[a] chamber pipe[s].</w:t>
      </w:r>
    </w:p>
    <w:p w14:paraId="76F22B1D" w14:textId="77777777" w:rsidR="00A707EF" w:rsidRPr="006816F9" w:rsidRDefault="00A707EF" w:rsidP="006816F9">
      <w:pPr>
        <w:pStyle w:val="ListParagraph"/>
        <w:numPr>
          <w:ilvl w:val="0"/>
          <w:numId w:val="4"/>
        </w:numPr>
        <w:rPr>
          <w:b/>
          <w:bCs/>
        </w:rPr>
      </w:pPr>
      <w:r w:rsidRPr="006816F9">
        <w:rPr>
          <w:b/>
          <w:bCs/>
        </w:rPr>
        <w:t>[a] carburetor pipe[s].</w:t>
      </w:r>
    </w:p>
    <w:p w14:paraId="436CDCEA" w14:textId="77777777" w:rsidR="00A707EF" w:rsidRPr="006816F9" w:rsidRDefault="00A707EF" w:rsidP="006816F9">
      <w:pPr>
        <w:pStyle w:val="ListParagraph"/>
        <w:numPr>
          <w:ilvl w:val="0"/>
          <w:numId w:val="4"/>
        </w:numPr>
        <w:rPr>
          <w:b/>
          <w:bCs/>
        </w:rPr>
      </w:pPr>
      <w:r w:rsidRPr="006816F9">
        <w:rPr>
          <w:b/>
          <w:bCs/>
        </w:rPr>
        <w:t>[an] electric pipe[s].</w:t>
      </w:r>
    </w:p>
    <w:p w14:paraId="4263CDB5" w14:textId="77777777" w:rsidR="00A707EF" w:rsidRPr="006816F9" w:rsidRDefault="00A707EF" w:rsidP="006816F9">
      <w:pPr>
        <w:pStyle w:val="ListParagraph"/>
        <w:numPr>
          <w:ilvl w:val="0"/>
          <w:numId w:val="4"/>
        </w:numPr>
        <w:rPr>
          <w:b/>
          <w:bCs/>
        </w:rPr>
      </w:pPr>
      <w:r w:rsidRPr="006816F9">
        <w:rPr>
          <w:b/>
          <w:bCs/>
        </w:rPr>
        <w:t>[an] air-driven pipe[s].</w:t>
      </w:r>
    </w:p>
    <w:p w14:paraId="09D76449" w14:textId="77777777" w:rsidR="00A707EF" w:rsidRPr="006816F9" w:rsidRDefault="00A707EF" w:rsidP="006816F9">
      <w:pPr>
        <w:pStyle w:val="ListParagraph"/>
        <w:numPr>
          <w:ilvl w:val="0"/>
          <w:numId w:val="4"/>
        </w:numPr>
        <w:rPr>
          <w:b/>
          <w:bCs/>
        </w:rPr>
      </w:pPr>
      <w:r w:rsidRPr="006816F9">
        <w:rPr>
          <w:b/>
          <w:bCs/>
        </w:rPr>
        <w:t>[a] chillum[s].</w:t>
      </w:r>
    </w:p>
    <w:p w14:paraId="272EFB98" w14:textId="77777777" w:rsidR="00A707EF" w:rsidRPr="006816F9" w:rsidRDefault="00A707EF" w:rsidP="006816F9">
      <w:pPr>
        <w:pStyle w:val="ListParagraph"/>
        <w:numPr>
          <w:ilvl w:val="0"/>
          <w:numId w:val="4"/>
        </w:numPr>
        <w:rPr>
          <w:b/>
          <w:bCs/>
        </w:rPr>
      </w:pPr>
      <w:r w:rsidRPr="006816F9">
        <w:rPr>
          <w:b/>
          <w:bCs/>
        </w:rPr>
        <w:t>[a] bong[s].</w:t>
      </w:r>
    </w:p>
    <w:p w14:paraId="5076BD1A" w14:textId="77777777" w:rsidR="00A707EF" w:rsidRPr="006816F9" w:rsidRDefault="00A707EF" w:rsidP="006816F9">
      <w:pPr>
        <w:pStyle w:val="ListParagraph"/>
        <w:numPr>
          <w:ilvl w:val="0"/>
          <w:numId w:val="4"/>
        </w:numPr>
        <w:rPr>
          <w:b/>
          <w:bCs/>
        </w:rPr>
      </w:pPr>
      <w:r w:rsidRPr="006816F9">
        <w:rPr>
          <w:b/>
          <w:bCs/>
        </w:rPr>
        <w:t>[an] ice pipe[s] or [a] chiller[s].</w:t>
      </w:r>
    </w:p>
    <w:p w14:paraId="764161D6" w14:textId="77777777" w:rsidR="00A707EF" w:rsidRPr="006816F9" w:rsidRDefault="00A707EF" w:rsidP="006816F9">
      <w:pPr>
        <w:pStyle w:val="SJITextItalic"/>
        <w:rPr>
          <w:rFonts w:eastAsia="SimSun"/>
        </w:rPr>
      </w:pPr>
      <w:r w:rsidRPr="006816F9">
        <w:rPr>
          <w:rFonts w:eastAsia="SimSun"/>
        </w:rPr>
        <w:t>Definitions.</w:t>
      </w:r>
    </w:p>
    <w:p w14:paraId="45535550" w14:textId="77777777" w:rsidR="00A707EF" w:rsidRPr="00C33901" w:rsidRDefault="00A707EF" w:rsidP="006816F9">
      <w:pPr>
        <w:pStyle w:val="SJITextItalic"/>
        <w:rPr>
          <w:rFonts w:eastAsia="SimSun"/>
        </w:rPr>
      </w:pPr>
      <w:r w:rsidRPr="00C33901">
        <w:rPr>
          <w:rFonts w:eastAsia="SimSun"/>
        </w:rPr>
        <w:t>Optional definitions of knowingly.</w:t>
      </w:r>
    </w:p>
    <w:p w14:paraId="28FCC098" w14:textId="77777777" w:rsidR="00A707EF" w:rsidRPr="00C33901" w:rsidRDefault="00A707EF" w:rsidP="00C33901">
      <w:pPr>
        <w:autoSpaceDE w:val="0"/>
        <w:autoSpaceDN w:val="0"/>
        <w:adjustRightInd w:val="0"/>
        <w:rPr>
          <w:b/>
          <w:color w:val="000000"/>
        </w:rPr>
      </w:pPr>
      <w:r w:rsidRPr="00C33901">
        <w:rPr>
          <w:b/>
          <w:color w:val="000000"/>
        </w:rPr>
        <w:t>“Knowingly” means with actual knowledge and understanding of the facts or the truth.</w:t>
      </w:r>
    </w:p>
    <w:p w14:paraId="03755B98" w14:textId="77777777" w:rsidR="00A707EF" w:rsidRPr="006816F9" w:rsidRDefault="00A707EF" w:rsidP="006816F9">
      <w:pPr>
        <w:rPr>
          <w:b/>
          <w:bCs/>
        </w:rPr>
      </w:pPr>
      <w:r w:rsidRPr="006816F9">
        <w:rPr>
          <w:b/>
          <w:bCs/>
        </w:rPr>
        <w:t>“Knowingly” means an act done voluntarily and intentionally and not because of mistake or accident or other innocent reason.</w:t>
      </w:r>
    </w:p>
    <w:p w14:paraId="48477790" w14:textId="77777777" w:rsidR="00A707EF" w:rsidRPr="00C33901" w:rsidRDefault="00A707EF" w:rsidP="00C33901">
      <w:pPr>
        <w:autoSpaceDE w:val="0"/>
        <w:autoSpaceDN w:val="0"/>
        <w:adjustRightInd w:val="0"/>
        <w:rPr>
          <w:rFonts w:eastAsia="SimSun"/>
          <w:b/>
          <w:color w:val="000000"/>
        </w:rPr>
      </w:pPr>
      <w:r w:rsidRPr="00C33901">
        <w:rPr>
          <w:rFonts w:eastAsia="SimSun"/>
          <w:b/>
          <w:color w:val="000000"/>
        </w:rPr>
        <w:t>“Willfully” means intentionally and purposely.</w:t>
      </w:r>
    </w:p>
    <w:p w14:paraId="78C2A2A1" w14:textId="77777777" w:rsidR="00A707EF" w:rsidRPr="00C33901" w:rsidRDefault="00A707EF" w:rsidP="00C33901">
      <w:pPr>
        <w:autoSpaceDE w:val="0"/>
        <w:autoSpaceDN w:val="0"/>
        <w:adjustRightInd w:val="0"/>
        <w:rPr>
          <w:rFonts w:eastAsia="SimSun"/>
          <w:b/>
          <w:color w:val="000000"/>
        </w:rPr>
      </w:pPr>
      <w:r w:rsidRPr="00C33901">
        <w:rPr>
          <w:rFonts w:eastAsia="SimSun"/>
          <w:b/>
          <w:color w:val="000000"/>
        </w:rPr>
        <w:t>The term “drug paraphernalia” means an object used, intended for use, or designed for use in ingesting, inhaling, or otherwise introducing [a controlled substance] [a substance described in § 877.111(1), Florida Statutes] into the human body.</w:t>
      </w:r>
    </w:p>
    <w:p w14:paraId="5DE5FA17" w14:textId="77777777" w:rsidR="00A707EF" w:rsidRPr="006816F9" w:rsidRDefault="00A707EF" w:rsidP="006816F9">
      <w:pPr>
        <w:rPr>
          <w:rFonts w:eastAsia="SimSun"/>
          <w:b/>
          <w:bCs/>
        </w:rPr>
      </w:pPr>
      <w:r w:rsidRPr="006816F9">
        <w:rPr>
          <w:b/>
          <w:bCs/>
        </w:rPr>
        <w:t>The Court instructs you that</w:t>
      </w:r>
      <w:r w:rsidRPr="006816F9">
        <w:t xml:space="preserve"> (name of substance) </w:t>
      </w:r>
      <w:r w:rsidRPr="006816F9">
        <w:rPr>
          <w:b/>
          <w:bCs/>
        </w:rPr>
        <w:t>is a [controlled substance] [substance listed in § 877.111(1), Florida Statutes].</w:t>
      </w:r>
    </w:p>
    <w:p w14:paraId="5AB82B15" w14:textId="77777777" w:rsidR="00A707EF" w:rsidRPr="00C33901" w:rsidRDefault="00A707EF" w:rsidP="006816F9">
      <w:pPr>
        <w:pStyle w:val="SJITextItalic"/>
      </w:pPr>
      <w:r w:rsidRPr="00C33901">
        <w:lastRenderedPageBreak/>
        <w:t>Relevant factors. § 893.146, Fla. Stat.</w:t>
      </w:r>
    </w:p>
    <w:p w14:paraId="66599F97" w14:textId="77777777" w:rsidR="00A707EF" w:rsidRPr="00C33901" w:rsidRDefault="00A707EF" w:rsidP="00C33901">
      <w:pPr>
        <w:autoSpaceDE w:val="0"/>
        <w:autoSpaceDN w:val="0"/>
        <w:adjustRightInd w:val="0"/>
        <w:rPr>
          <w:b/>
          <w:color w:val="000000"/>
        </w:rPr>
      </w:pPr>
      <w:r w:rsidRPr="00C33901">
        <w:rPr>
          <w:b/>
          <w:color w:val="000000"/>
        </w:rPr>
        <w:t>In addition to all other logically relevant factors, the following factors shall be considered in determining whether an object is drug paraphernalia:</w:t>
      </w:r>
    </w:p>
    <w:p w14:paraId="174C5154" w14:textId="77777777" w:rsidR="00A707EF" w:rsidRPr="00C33901" w:rsidRDefault="00A707EF" w:rsidP="006816F9">
      <w:pPr>
        <w:widowControl w:val="0"/>
        <w:autoSpaceDE w:val="0"/>
        <w:autoSpaceDN w:val="0"/>
        <w:adjustRightInd w:val="0"/>
        <w:ind w:left="1152" w:right="288" w:hanging="432"/>
        <w:rPr>
          <w:b/>
        </w:rPr>
      </w:pPr>
      <w:r w:rsidRPr="00C33901">
        <w:rPr>
          <w:b/>
        </w:rPr>
        <w:t>1.</w:t>
      </w:r>
      <w:r w:rsidRPr="00C33901">
        <w:rPr>
          <w:b/>
        </w:rPr>
        <w:tab/>
        <w:t>Statements by an owner or by anyone in control of the object concerning its use.</w:t>
      </w:r>
    </w:p>
    <w:p w14:paraId="65D8C573" w14:textId="77777777" w:rsidR="00A707EF" w:rsidRPr="00C33901" w:rsidRDefault="00A707EF" w:rsidP="006816F9">
      <w:pPr>
        <w:widowControl w:val="0"/>
        <w:autoSpaceDE w:val="0"/>
        <w:autoSpaceDN w:val="0"/>
        <w:adjustRightInd w:val="0"/>
        <w:ind w:left="1152" w:right="288" w:hanging="432"/>
        <w:rPr>
          <w:b/>
        </w:rPr>
      </w:pPr>
      <w:r w:rsidRPr="00C33901">
        <w:rPr>
          <w:b/>
        </w:rPr>
        <w:t>2.</w:t>
      </w:r>
      <w:r w:rsidRPr="00C33901">
        <w:rPr>
          <w:b/>
        </w:rPr>
        <w:tab/>
        <w:t>The proximity of the object, in time and space, to a direct violation of the drug laws.</w:t>
      </w:r>
    </w:p>
    <w:p w14:paraId="481BC6FC" w14:textId="77777777" w:rsidR="00A707EF" w:rsidRPr="00C33901" w:rsidRDefault="00A707EF" w:rsidP="006816F9">
      <w:pPr>
        <w:widowControl w:val="0"/>
        <w:autoSpaceDE w:val="0"/>
        <w:autoSpaceDN w:val="0"/>
        <w:adjustRightInd w:val="0"/>
        <w:ind w:left="1152" w:right="288" w:hanging="432"/>
        <w:rPr>
          <w:b/>
        </w:rPr>
      </w:pPr>
      <w:r w:rsidRPr="00C33901">
        <w:rPr>
          <w:b/>
        </w:rPr>
        <w:t>3.</w:t>
      </w:r>
      <w:r w:rsidRPr="00C33901">
        <w:rPr>
          <w:b/>
        </w:rPr>
        <w:tab/>
        <w:t>The proximity of the object to controlled substances.</w:t>
      </w:r>
    </w:p>
    <w:p w14:paraId="6CAD9533" w14:textId="77777777" w:rsidR="00A707EF" w:rsidRPr="00C33901" w:rsidRDefault="00A707EF" w:rsidP="006816F9">
      <w:pPr>
        <w:widowControl w:val="0"/>
        <w:autoSpaceDE w:val="0"/>
        <w:autoSpaceDN w:val="0"/>
        <w:adjustRightInd w:val="0"/>
        <w:ind w:left="1152" w:right="288" w:hanging="432"/>
        <w:rPr>
          <w:b/>
        </w:rPr>
      </w:pPr>
      <w:r w:rsidRPr="00C33901">
        <w:rPr>
          <w:b/>
        </w:rPr>
        <w:t>4.</w:t>
      </w:r>
      <w:r w:rsidRPr="00C33901">
        <w:rPr>
          <w:b/>
        </w:rPr>
        <w:tab/>
        <w:t>The existence of any residue of controlled substances on the object.</w:t>
      </w:r>
    </w:p>
    <w:p w14:paraId="5A41B5B2" w14:textId="77777777" w:rsidR="00A707EF" w:rsidRPr="00C33901" w:rsidRDefault="00A707EF" w:rsidP="006816F9">
      <w:pPr>
        <w:widowControl w:val="0"/>
        <w:autoSpaceDE w:val="0"/>
        <w:autoSpaceDN w:val="0"/>
        <w:adjustRightInd w:val="0"/>
        <w:ind w:left="1152" w:right="288" w:hanging="432"/>
        <w:rPr>
          <w:b/>
        </w:rPr>
      </w:pPr>
      <w:r w:rsidRPr="00C33901">
        <w:rPr>
          <w:b/>
        </w:rPr>
        <w:t>5.</w:t>
      </w:r>
      <w:r w:rsidRPr="00C33901">
        <w:rPr>
          <w:b/>
        </w:rPr>
        <w:tab/>
        <w:t>Evidence of the intent of an owner, or of anyone in control of the object, to deliver it to persons whom [he] [she] knows, or should reasonably know, intend to use the object to facilitate a violation of the drug laws. The innocence of an owner, or of anyone in control of the object, as to a direct violation of the drug laws shall not prevent a finding that the object is intended for use, or designed for use, as drug paraphernalia.</w:t>
      </w:r>
    </w:p>
    <w:p w14:paraId="25E4445C" w14:textId="77777777" w:rsidR="00A707EF" w:rsidRPr="00C33901" w:rsidRDefault="00A707EF" w:rsidP="006816F9">
      <w:pPr>
        <w:widowControl w:val="0"/>
        <w:autoSpaceDE w:val="0"/>
        <w:autoSpaceDN w:val="0"/>
        <w:adjustRightInd w:val="0"/>
        <w:ind w:left="1152" w:right="288" w:hanging="432"/>
        <w:rPr>
          <w:b/>
        </w:rPr>
      </w:pPr>
      <w:r w:rsidRPr="00C33901">
        <w:rPr>
          <w:b/>
        </w:rPr>
        <w:t>6.</w:t>
      </w:r>
      <w:r w:rsidRPr="00C33901">
        <w:rPr>
          <w:b/>
        </w:rPr>
        <w:tab/>
        <w:t>Instructions, oral or written, provided with the object concerning its use.</w:t>
      </w:r>
    </w:p>
    <w:p w14:paraId="411F36F8" w14:textId="77777777" w:rsidR="00A707EF" w:rsidRPr="00C33901" w:rsidRDefault="00A707EF" w:rsidP="006816F9">
      <w:pPr>
        <w:widowControl w:val="0"/>
        <w:autoSpaceDE w:val="0"/>
        <w:autoSpaceDN w:val="0"/>
        <w:adjustRightInd w:val="0"/>
        <w:ind w:left="1152" w:right="288" w:hanging="432"/>
        <w:rPr>
          <w:b/>
        </w:rPr>
      </w:pPr>
      <w:r w:rsidRPr="00C33901">
        <w:rPr>
          <w:b/>
        </w:rPr>
        <w:t>7.</w:t>
      </w:r>
      <w:r w:rsidRPr="00C33901">
        <w:rPr>
          <w:b/>
        </w:rPr>
        <w:tab/>
        <w:t>Descriptive materials accompanying the object which explain or depict its use.</w:t>
      </w:r>
    </w:p>
    <w:p w14:paraId="658C8EC0" w14:textId="77777777" w:rsidR="00A707EF" w:rsidRPr="00C33901" w:rsidRDefault="00A707EF" w:rsidP="006816F9">
      <w:pPr>
        <w:widowControl w:val="0"/>
        <w:autoSpaceDE w:val="0"/>
        <w:autoSpaceDN w:val="0"/>
        <w:adjustRightInd w:val="0"/>
        <w:ind w:left="1152" w:right="288" w:hanging="432"/>
        <w:rPr>
          <w:b/>
        </w:rPr>
      </w:pPr>
      <w:r w:rsidRPr="00C33901">
        <w:rPr>
          <w:b/>
        </w:rPr>
        <w:t>8.</w:t>
      </w:r>
      <w:r w:rsidRPr="00C33901">
        <w:rPr>
          <w:b/>
        </w:rPr>
        <w:tab/>
        <w:t>Any advertising concerning its use.</w:t>
      </w:r>
    </w:p>
    <w:p w14:paraId="5C4D409A" w14:textId="77777777" w:rsidR="00A707EF" w:rsidRPr="00C33901" w:rsidRDefault="00A707EF" w:rsidP="006816F9">
      <w:pPr>
        <w:widowControl w:val="0"/>
        <w:autoSpaceDE w:val="0"/>
        <w:autoSpaceDN w:val="0"/>
        <w:adjustRightInd w:val="0"/>
        <w:ind w:left="1152" w:right="288" w:hanging="432"/>
        <w:rPr>
          <w:b/>
        </w:rPr>
      </w:pPr>
      <w:r w:rsidRPr="00C33901">
        <w:rPr>
          <w:b/>
        </w:rPr>
        <w:t>9.</w:t>
      </w:r>
      <w:r w:rsidRPr="00C33901">
        <w:rPr>
          <w:b/>
        </w:rPr>
        <w:tab/>
        <w:t xml:space="preserve">The </w:t>
      </w:r>
      <w:proofErr w:type="gramStart"/>
      <w:r w:rsidRPr="00C33901">
        <w:rPr>
          <w:b/>
        </w:rPr>
        <w:t>manner in which</w:t>
      </w:r>
      <w:proofErr w:type="gramEnd"/>
      <w:r w:rsidRPr="00C33901">
        <w:rPr>
          <w:b/>
        </w:rPr>
        <w:t xml:space="preserve"> the object is displayed for sale.</w:t>
      </w:r>
    </w:p>
    <w:p w14:paraId="1AB44085" w14:textId="77777777" w:rsidR="00A707EF" w:rsidRPr="00C33901" w:rsidRDefault="00A707EF" w:rsidP="006816F9">
      <w:pPr>
        <w:widowControl w:val="0"/>
        <w:autoSpaceDE w:val="0"/>
        <w:autoSpaceDN w:val="0"/>
        <w:adjustRightInd w:val="0"/>
        <w:ind w:left="1152" w:right="288" w:hanging="432"/>
        <w:rPr>
          <w:b/>
        </w:rPr>
      </w:pPr>
      <w:r w:rsidRPr="00C33901">
        <w:rPr>
          <w:b/>
        </w:rPr>
        <w:t>10.</w:t>
      </w:r>
      <w:r w:rsidRPr="00C33901">
        <w:rPr>
          <w:b/>
        </w:rPr>
        <w:tab/>
        <w:t>Whether the owner, or anyone in control of the object, is a legitimate supplier of like or related items to the community, such as a licensed distributor or dealer of tobacco products.</w:t>
      </w:r>
    </w:p>
    <w:p w14:paraId="101BE95D" w14:textId="77777777" w:rsidR="00A707EF" w:rsidRPr="00C33901" w:rsidRDefault="00A707EF" w:rsidP="006816F9">
      <w:pPr>
        <w:widowControl w:val="0"/>
        <w:autoSpaceDE w:val="0"/>
        <w:autoSpaceDN w:val="0"/>
        <w:adjustRightInd w:val="0"/>
        <w:ind w:left="1152" w:right="288" w:hanging="432"/>
        <w:rPr>
          <w:b/>
        </w:rPr>
      </w:pPr>
      <w:r w:rsidRPr="00C33901">
        <w:rPr>
          <w:b/>
        </w:rPr>
        <w:t>11.</w:t>
      </w:r>
      <w:r w:rsidRPr="00C33901">
        <w:rPr>
          <w:b/>
        </w:rPr>
        <w:tab/>
        <w:t>Evidence of the ratio of sales of the object or objects to the total sales of the business enterprise.</w:t>
      </w:r>
    </w:p>
    <w:p w14:paraId="19D44D5C" w14:textId="77777777" w:rsidR="00A707EF" w:rsidRPr="00C33901" w:rsidRDefault="00A707EF" w:rsidP="006816F9">
      <w:pPr>
        <w:widowControl w:val="0"/>
        <w:autoSpaceDE w:val="0"/>
        <w:autoSpaceDN w:val="0"/>
        <w:adjustRightInd w:val="0"/>
        <w:ind w:left="1152" w:right="288" w:hanging="432"/>
        <w:rPr>
          <w:b/>
        </w:rPr>
      </w:pPr>
      <w:r w:rsidRPr="00C33901">
        <w:rPr>
          <w:b/>
        </w:rPr>
        <w:t>12.</w:t>
      </w:r>
      <w:r w:rsidRPr="00C33901">
        <w:rPr>
          <w:b/>
        </w:rPr>
        <w:tab/>
        <w:t>The existence and scope of legitimate uses for the object in the community.</w:t>
      </w:r>
    </w:p>
    <w:p w14:paraId="00A87B39" w14:textId="77777777" w:rsidR="00A707EF" w:rsidRDefault="00A707EF" w:rsidP="006816F9">
      <w:pPr>
        <w:widowControl w:val="0"/>
        <w:autoSpaceDE w:val="0"/>
        <w:autoSpaceDN w:val="0"/>
        <w:adjustRightInd w:val="0"/>
        <w:ind w:left="1152" w:right="288" w:hanging="432"/>
        <w:rPr>
          <w:b/>
        </w:rPr>
      </w:pPr>
      <w:r w:rsidRPr="00C33901">
        <w:rPr>
          <w:b/>
        </w:rPr>
        <w:t>13.</w:t>
      </w:r>
      <w:r w:rsidRPr="00C33901">
        <w:rPr>
          <w:b/>
        </w:rPr>
        <w:tab/>
        <w:t>Expert testimony concerning its use.</w:t>
      </w:r>
    </w:p>
    <w:p w14:paraId="5A8BE10B" w14:textId="77777777" w:rsidR="00A707EF" w:rsidRDefault="00A707EF" w:rsidP="006816F9">
      <w:pPr>
        <w:pStyle w:val="SJIComments"/>
        <w:rPr>
          <w:rFonts w:eastAsia="SimSun"/>
        </w:rPr>
      </w:pPr>
      <w:r w:rsidRPr="00C33901">
        <w:rPr>
          <w:rFonts w:eastAsia="SimSun"/>
        </w:rPr>
        <w:t>Lesser Included Offenses</w:t>
      </w:r>
    </w:p>
    <w:p w14:paraId="43454AB3" w14:textId="77777777" w:rsidR="00A707EF" w:rsidRDefault="00A707EF" w:rsidP="00C33901">
      <w:pPr>
        <w:autoSpaceDE w:val="0"/>
        <w:autoSpaceDN w:val="0"/>
        <w:adjustRightInd w:val="0"/>
        <w:rPr>
          <w:rFonts w:eastAsia="SimSun"/>
          <w:color w:val="000000"/>
        </w:rPr>
      </w:pPr>
      <w:r w:rsidRPr="00C33901">
        <w:rPr>
          <w:rFonts w:eastAsia="SimSun"/>
          <w:color w:val="000000"/>
        </w:rPr>
        <w:t>No lesser included offenses have been identified for this offense.</w:t>
      </w:r>
    </w:p>
    <w:p w14:paraId="544F82F4" w14:textId="77777777" w:rsidR="006816F9" w:rsidRDefault="006816F9">
      <w:pPr>
        <w:spacing w:after="160"/>
        <w:ind w:firstLine="0"/>
        <w:rPr>
          <w:rFonts w:eastAsia="SimSun" w:cs="Courier New"/>
          <w:b/>
        </w:rPr>
      </w:pPr>
      <w:r>
        <w:rPr>
          <w:rFonts w:eastAsia="SimSun"/>
        </w:rPr>
        <w:br w:type="page"/>
      </w:r>
    </w:p>
    <w:p w14:paraId="095FA0E3" w14:textId="77777777" w:rsidR="00A707EF" w:rsidRDefault="00A707EF" w:rsidP="006816F9">
      <w:pPr>
        <w:pStyle w:val="SJIComments"/>
        <w:rPr>
          <w:rFonts w:eastAsia="SimSun"/>
        </w:rPr>
      </w:pPr>
      <w:r w:rsidRPr="00C33901">
        <w:rPr>
          <w:rFonts w:eastAsia="SimSun"/>
        </w:rPr>
        <w:lastRenderedPageBreak/>
        <w:t>Comments</w:t>
      </w:r>
    </w:p>
    <w:p w14:paraId="34ABDA90" w14:textId="77777777" w:rsidR="00A707EF" w:rsidRPr="00C33901" w:rsidRDefault="00A707EF" w:rsidP="00C33901">
      <w:pPr>
        <w:autoSpaceDE w:val="0"/>
        <w:autoSpaceDN w:val="0"/>
        <w:adjustRightInd w:val="0"/>
        <w:rPr>
          <w:rFonts w:eastAsia="SimSun"/>
          <w:color w:val="000000"/>
        </w:rPr>
      </w:pPr>
      <w:r w:rsidRPr="00C33901">
        <w:rPr>
          <w:rFonts w:eastAsia="SimSun"/>
          <w:color w:val="000000"/>
        </w:rPr>
        <w:t>It is unclear whether the exception for pipes primarily made of briar, meerschaum, clay, or corn cob is an element or an affirmative defense. In the absence of case law, trial judges will have to make that determination if the issue arises.</w:t>
      </w:r>
    </w:p>
    <w:p w14:paraId="3FECA5B2" w14:textId="77777777" w:rsidR="00A707EF" w:rsidRPr="00C33901" w:rsidRDefault="00A707EF" w:rsidP="006816F9">
      <w:pPr>
        <w:rPr>
          <w:rFonts w:eastAsia="SimSun"/>
        </w:rPr>
      </w:pPr>
      <w:r w:rsidRPr="00C33901">
        <w:rPr>
          <w:rFonts w:eastAsia="SimSun"/>
        </w:rPr>
        <w:t>The crime in § 893.147(6)(a), Fla. Stat., is reclassified from a first-degree misdemeanor to a third-degree felony upon a seco</w:t>
      </w:r>
      <w:r w:rsidR="00F072D2">
        <w:rPr>
          <w:rFonts w:eastAsia="SimSun"/>
        </w:rPr>
        <w:t xml:space="preserve">nd or subsequent violation. </w:t>
      </w:r>
      <w:r w:rsidRPr="00C33901">
        <w:rPr>
          <w:rFonts w:eastAsia="SimSun"/>
          <w:i/>
        </w:rPr>
        <w:t>See</w:t>
      </w:r>
      <w:r w:rsidRPr="00C33901">
        <w:rPr>
          <w:rFonts w:eastAsia="SimSun"/>
        </w:rPr>
        <w:t xml:space="preserve"> § 893.147(6)(b), Fla. Stat. As of August 2017, it is unclear whether a prior violation will be treated as an element of the crime which must be proven to the jury or as a sentencing factor which may be proven to the judge. If treated as an element, it is error to inform the jury of a prior violation of Retail Sale of Drug Paraphernalia. Therefore, if the information or indictment contains an allegation of one or more prior violations, do not read that allegation and do not send the information or indictment into the jury room. If the defendant is found guilty of a Retail Sale of Drug Paraphernalia, the historical fact of a previous violation shall be determined beyond a reasonable doubt in a bifurcated proceeding. </w:t>
      </w:r>
      <w:r w:rsidRPr="00C33901">
        <w:rPr>
          <w:rFonts w:eastAsia="SimSun"/>
          <w:i/>
        </w:rPr>
        <w:t>See</w:t>
      </w:r>
      <w:r w:rsidRPr="00C33901">
        <w:rPr>
          <w:rFonts w:eastAsia="SimSun"/>
        </w:rPr>
        <w:t xml:space="preserve"> </w:t>
      </w:r>
      <w:r w:rsidRPr="00C33901">
        <w:rPr>
          <w:rFonts w:eastAsia="SimSun"/>
          <w:i/>
        </w:rPr>
        <w:t>State v. Harbaugh,</w:t>
      </w:r>
      <w:r w:rsidRPr="00C33901">
        <w:rPr>
          <w:rFonts w:eastAsia="SimSun"/>
        </w:rPr>
        <w:t xml:space="preserve"> 754 So. 2d 691 (Fla. 2000).</w:t>
      </w:r>
    </w:p>
    <w:p w14:paraId="749D8044" w14:textId="77777777" w:rsidR="00525A6B" w:rsidRPr="006816F9" w:rsidRDefault="00A707EF" w:rsidP="006816F9">
      <w:pPr>
        <w:rPr>
          <w:rFonts w:eastAsia="SimSun"/>
        </w:rPr>
      </w:pPr>
      <w:r w:rsidRPr="00C33901">
        <w:rPr>
          <w:rFonts w:eastAsia="SimSun"/>
        </w:rPr>
        <w:t>This instruction was adopted in 2014 [143 So. 3d 893] and amended in 2017.</w:t>
      </w:r>
      <w:bookmarkEnd w:id="0"/>
    </w:p>
    <w:sectPr w:rsidR="00525A6B" w:rsidRPr="00681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92E72F4"/>
    <w:multiLevelType w:val="hybridMultilevel"/>
    <w:tmpl w:val="FFFFFFFF"/>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6EE05160"/>
    <w:multiLevelType w:val="hybridMultilevel"/>
    <w:tmpl w:val="FFFFFFFF"/>
    <w:lvl w:ilvl="0" w:tplc="8ACE9D06">
      <w:start w:val="1"/>
      <w:numFmt w:val="decimal"/>
      <w:lvlText w:val="%1."/>
      <w:lvlJc w:val="left"/>
      <w:pPr>
        <w:ind w:left="1125" w:hanging="360"/>
      </w:pPr>
      <w:rPr>
        <w:rFonts w:cs="Times New Roman" w:hint="default"/>
        <w:b/>
        <w:u w:val="none"/>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num w:numId="1" w16cid:durableId="492962065">
    <w:abstractNumId w:val="2"/>
  </w:num>
  <w:num w:numId="2" w16cid:durableId="354773803">
    <w:abstractNumId w:val="0"/>
  </w:num>
  <w:num w:numId="3" w16cid:durableId="204029862">
    <w:abstractNumId w:val="0"/>
  </w:num>
  <w:num w:numId="4" w16cid:durableId="137694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EF"/>
    <w:rsid w:val="00310BF7"/>
    <w:rsid w:val="00525A6B"/>
    <w:rsid w:val="005E0431"/>
    <w:rsid w:val="006816F9"/>
    <w:rsid w:val="008B5DCE"/>
    <w:rsid w:val="00A707EF"/>
    <w:rsid w:val="00B70749"/>
    <w:rsid w:val="00C33901"/>
    <w:rsid w:val="00DE59CE"/>
    <w:rsid w:val="00F0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F0371"/>
  <w14:defaultImageDpi w14:val="0"/>
  <w15:docId w15:val="{2B624025-A207-4F8A-9C75-D432466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6F9"/>
    <w:pPr>
      <w:spacing w:after="220"/>
      <w:ind w:firstLine="720"/>
    </w:pPr>
    <w:rPr>
      <w:rFonts w:ascii="Bookman Old Style" w:hAnsi="Bookman Old Style" w:cs="Times New Roman"/>
    </w:rPr>
  </w:style>
  <w:style w:type="paragraph" w:styleId="Heading1">
    <w:name w:val="heading 1"/>
    <w:basedOn w:val="Normal"/>
    <w:next w:val="Normal"/>
    <w:link w:val="Heading1Char"/>
    <w:uiPriority w:val="9"/>
    <w:qFormat/>
    <w:rsid w:val="006816F9"/>
    <w:pPr>
      <w:keepNext/>
      <w:keepLines/>
      <w:spacing w:after="280" w:line="240" w:lineRule="auto"/>
      <w:jc w:val="center"/>
      <w:outlineLvl w:val="0"/>
    </w:pPr>
    <w:rPr>
      <w:rFonts w:eastAsiaTheme="majorEastAsia"/>
      <w:b/>
      <w:caps/>
      <w:sz w:val="28"/>
      <w:szCs w:val="28"/>
    </w:rPr>
  </w:style>
  <w:style w:type="paragraph" w:styleId="Heading2">
    <w:name w:val="heading 2"/>
    <w:basedOn w:val="Normal"/>
    <w:next w:val="Normal"/>
    <w:link w:val="Heading2Char"/>
    <w:uiPriority w:val="9"/>
    <w:qFormat/>
    <w:rsid w:val="006816F9"/>
    <w:pPr>
      <w:ind w:firstLine="0"/>
      <w:jc w:val="center"/>
      <w:outlineLvl w:val="1"/>
    </w:pPr>
    <w:rPr>
      <w:b/>
      <w:bCs/>
      <w:sz w:val="26"/>
      <w:szCs w:val="26"/>
    </w:rPr>
  </w:style>
  <w:style w:type="paragraph" w:styleId="Heading3">
    <w:name w:val="heading 3"/>
    <w:basedOn w:val="Normal"/>
    <w:next w:val="Normal"/>
    <w:link w:val="Heading3Char"/>
    <w:uiPriority w:val="9"/>
    <w:qFormat/>
    <w:rsid w:val="006816F9"/>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6816F9"/>
    <w:pPr>
      <w:outlineLvl w:val="3"/>
    </w:pPr>
  </w:style>
  <w:style w:type="paragraph" w:styleId="Heading5">
    <w:name w:val="heading 5"/>
    <w:basedOn w:val="Normal"/>
    <w:next w:val="Normal"/>
    <w:link w:val="Heading5Char"/>
    <w:uiPriority w:val="9"/>
    <w:qFormat/>
    <w:rsid w:val="006816F9"/>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6816F9"/>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6816F9"/>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6816F9"/>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6816F9"/>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816F9"/>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816F9"/>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816F9"/>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816F9"/>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816F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816F9"/>
    <w:rPr>
      <w:rFonts w:ascii="Times New Roman" w:hAnsi="Times New Roman" w:cs="Times New Roman"/>
      <w:b/>
      <w:bCs/>
    </w:rPr>
  </w:style>
  <w:style w:type="character" w:customStyle="1" w:styleId="Heading7Char">
    <w:name w:val="Heading 7 Char"/>
    <w:basedOn w:val="DefaultParagraphFont"/>
    <w:link w:val="Heading7"/>
    <w:uiPriority w:val="9"/>
    <w:locked/>
    <w:rsid w:val="006816F9"/>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816F9"/>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816F9"/>
    <w:rPr>
      <w:rFonts w:ascii="Arial" w:hAnsi="Arial" w:cs="Arial"/>
    </w:rPr>
  </w:style>
  <w:style w:type="paragraph" w:customStyle="1" w:styleId="SJIlist1">
    <w:name w:val="SJI list 1"/>
    <w:basedOn w:val="Normal"/>
    <w:qFormat/>
    <w:rsid w:val="006816F9"/>
    <w:pPr>
      <w:widowControl w:val="0"/>
      <w:autoSpaceDE w:val="0"/>
      <w:autoSpaceDN w:val="0"/>
      <w:adjustRightInd w:val="0"/>
      <w:ind w:left="1296" w:hanging="576"/>
    </w:pPr>
  </w:style>
  <w:style w:type="character" w:customStyle="1" w:styleId="SJIBold">
    <w:name w:val="SJI Bold"/>
    <w:uiPriority w:val="1"/>
    <w:qFormat/>
    <w:rsid w:val="006816F9"/>
    <w:rPr>
      <w:b/>
    </w:rPr>
  </w:style>
  <w:style w:type="paragraph" w:customStyle="1" w:styleId="SJIText">
    <w:name w:val="SJI Text"/>
    <w:basedOn w:val="Normal"/>
    <w:next w:val="Normal"/>
    <w:qFormat/>
    <w:rsid w:val="006816F9"/>
  </w:style>
  <w:style w:type="paragraph" w:customStyle="1" w:styleId="SJIStatuteinTitle">
    <w:name w:val="SJI Statute in Title"/>
    <w:basedOn w:val="Normal"/>
    <w:qFormat/>
    <w:rsid w:val="006816F9"/>
    <w:pPr>
      <w:spacing w:after="240" w:line="240" w:lineRule="auto"/>
      <w:ind w:firstLine="0"/>
      <w:jc w:val="center"/>
    </w:pPr>
    <w:rPr>
      <w:sz w:val="24"/>
      <w:szCs w:val="24"/>
    </w:rPr>
  </w:style>
  <w:style w:type="paragraph" w:customStyle="1" w:styleId="SJITextItalic">
    <w:name w:val="SJI Text Italic"/>
    <w:basedOn w:val="Normal"/>
    <w:qFormat/>
    <w:locked/>
    <w:rsid w:val="006816F9"/>
    <w:pPr>
      <w:tabs>
        <w:tab w:val="left" w:pos="720"/>
      </w:tabs>
      <w:suppressAutoHyphens/>
      <w:spacing w:after="0"/>
    </w:pPr>
    <w:rPr>
      <w:i/>
      <w:iCs/>
      <w:szCs w:val="24"/>
    </w:rPr>
  </w:style>
  <w:style w:type="paragraph" w:customStyle="1" w:styleId="SJITableText">
    <w:name w:val="SJI Table Text"/>
    <w:basedOn w:val="Normal"/>
    <w:qFormat/>
    <w:rsid w:val="006816F9"/>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6816F9"/>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Comments">
    <w:name w:val="SJI Comments"/>
    <w:basedOn w:val="Normal"/>
    <w:qFormat/>
    <w:rsid w:val="006816F9"/>
    <w:pPr>
      <w:spacing w:before="220"/>
      <w:ind w:firstLine="0"/>
      <w:jc w:val="center"/>
    </w:pPr>
    <w:rPr>
      <w:rFonts w:cs="Courier New"/>
      <w:b/>
    </w:rPr>
  </w:style>
  <w:style w:type="paragraph" w:customStyle="1" w:styleId="SJIInstructionlist1">
    <w:name w:val="SJI Instruction list 1"/>
    <w:basedOn w:val="Normal"/>
    <w:qFormat/>
    <w:rsid w:val="006816F9"/>
    <w:pPr>
      <w:widowControl w:val="0"/>
      <w:autoSpaceDE w:val="0"/>
      <w:autoSpaceDN w:val="0"/>
      <w:adjustRightInd w:val="0"/>
      <w:spacing w:before="120" w:after="120"/>
      <w:ind w:left="864" w:hanging="864"/>
    </w:pPr>
    <w:rPr>
      <w:szCs w:val="28"/>
    </w:rPr>
  </w:style>
  <w:style w:type="paragraph" w:customStyle="1" w:styleId="SJINumberedParagraph">
    <w:name w:val="SJI Numbered Paragraph"/>
    <w:basedOn w:val="ListParagraph"/>
    <w:qFormat/>
    <w:rsid w:val="006816F9"/>
    <w:pPr>
      <w:numPr>
        <w:numId w:val="3"/>
      </w:numPr>
    </w:pPr>
  </w:style>
  <w:style w:type="paragraph" w:styleId="ListParagraph">
    <w:name w:val="List Paragraph"/>
    <w:basedOn w:val="Normal"/>
    <w:uiPriority w:val="34"/>
    <w:qFormat/>
    <w:rsid w:val="006816F9"/>
    <w:pPr>
      <w:ind w:left="720"/>
    </w:pPr>
  </w:style>
  <w:style w:type="paragraph" w:customStyle="1" w:styleId="SJITableNotation">
    <w:name w:val="SJI Table Notation"/>
    <w:basedOn w:val="SJITableText"/>
    <w:qFormat/>
    <w:rsid w:val="006816F9"/>
    <w:pPr>
      <w:spacing w:before="120" w:after="240"/>
    </w:pPr>
  </w:style>
  <w:style w:type="character" w:customStyle="1" w:styleId="SJIUnderline">
    <w:name w:val="SJI Underline"/>
    <w:uiPriority w:val="1"/>
    <w:qFormat/>
    <w:rsid w:val="006816F9"/>
    <w:rPr>
      <w:rFonts w:ascii="Times New Roman" w:hAnsi="Times New Roman"/>
      <w:sz w:val="28"/>
      <w:u w:val="single"/>
    </w:rPr>
  </w:style>
  <w:style w:type="paragraph" w:styleId="Caption">
    <w:name w:val="caption"/>
    <w:basedOn w:val="Normal"/>
    <w:next w:val="Normal"/>
    <w:uiPriority w:val="35"/>
    <w:semiHidden/>
    <w:unhideWhenUsed/>
    <w:qFormat/>
    <w:rsid w:val="006816F9"/>
    <w:pPr>
      <w:spacing w:after="200" w:line="240" w:lineRule="auto"/>
    </w:pPr>
    <w:rPr>
      <w:i/>
      <w:iCs/>
      <w:color w:val="44546A" w:themeColor="text2"/>
      <w:sz w:val="18"/>
      <w:szCs w:val="18"/>
    </w:rPr>
  </w:style>
  <w:style w:type="paragraph" w:styleId="Title">
    <w:name w:val="Title"/>
    <w:basedOn w:val="NoSpacing"/>
    <w:next w:val="Normal"/>
    <w:link w:val="TitleChar"/>
    <w:uiPriority w:val="10"/>
    <w:qFormat/>
    <w:rsid w:val="006816F9"/>
    <w:pPr>
      <w:jc w:val="center"/>
    </w:pPr>
    <w:rPr>
      <w:b/>
      <w:bCs/>
      <w:sz w:val="28"/>
      <w:szCs w:val="28"/>
    </w:rPr>
  </w:style>
  <w:style w:type="character" w:customStyle="1" w:styleId="TitleChar">
    <w:name w:val="Title Char"/>
    <w:basedOn w:val="DefaultParagraphFont"/>
    <w:link w:val="Title"/>
    <w:uiPriority w:val="10"/>
    <w:locked/>
    <w:rsid w:val="006816F9"/>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6816F9"/>
    <w:pPr>
      <w:spacing w:after="0" w:line="240" w:lineRule="auto"/>
    </w:pPr>
    <w:rPr>
      <w:rFonts w:ascii="Bookman Old Style" w:hAnsi="Bookman Old Style" w:cs="Times New Roman"/>
      <w:color w:val="000000"/>
    </w:rPr>
  </w:style>
  <w:style w:type="paragraph" w:styleId="Subtitle">
    <w:name w:val="Subtitle"/>
    <w:basedOn w:val="Normal"/>
    <w:next w:val="Normal"/>
    <w:link w:val="SubtitleChar"/>
    <w:uiPriority w:val="11"/>
    <w:qFormat/>
    <w:rsid w:val="006816F9"/>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6816F9"/>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6816F9"/>
    <w:rPr>
      <w:rFonts w:ascii="Bookman Old Style" w:hAnsi="Bookman Old Style" w:cs="Times New Roman"/>
      <w:color w:val="000000"/>
    </w:rPr>
  </w:style>
  <w:style w:type="paragraph" w:styleId="Quote">
    <w:name w:val="Quote"/>
    <w:basedOn w:val="Normal"/>
    <w:next w:val="Normal"/>
    <w:link w:val="QuoteChar"/>
    <w:uiPriority w:val="29"/>
    <w:qFormat/>
    <w:rsid w:val="006816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6816F9"/>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816F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locked/>
    <w:rsid w:val="006816F9"/>
    <w:rPr>
      <w:rFonts w:ascii="Bookman Old Style" w:hAnsi="Bookman Old Style" w:cs="Times New Roman"/>
      <w:i/>
      <w:iCs/>
      <w:color w:val="5B9BD5" w:themeColor="accent1"/>
    </w:rPr>
  </w:style>
  <w:style w:type="paragraph" w:styleId="TOCHeading">
    <w:name w:val="TOC Heading"/>
    <w:basedOn w:val="Heading1"/>
    <w:next w:val="Normal"/>
    <w:uiPriority w:val="39"/>
    <w:semiHidden/>
    <w:unhideWhenUsed/>
    <w:qFormat/>
    <w:rsid w:val="006816F9"/>
    <w:pPr>
      <w:outlineLvl w:val="9"/>
    </w:pPr>
    <w:rPr>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Conn</dc:creator>
  <cp:keywords/>
  <dc:description/>
  <cp:lastModifiedBy>Ray, Susan D</cp:lastModifiedBy>
  <cp:revision>3</cp:revision>
  <dcterms:created xsi:type="dcterms:W3CDTF">2024-01-29T16:48:00Z</dcterms:created>
  <dcterms:modified xsi:type="dcterms:W3CDTF">2024-01-29T16:48:00Z</dcterms:modified>
</cp:coreProperties>
</file>