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E035" w14:textId="77777777" w:rsidR="006D3E95" w:rsidRPr="005352DE" w:rsidRDefault="006D3E95" w:rsidP="006D3E95">
      <w:pPr>
        <w:pStyle w:val="Heading3"/>
      </w:pPr>
      <w:bookmarkStart w:id="0" w:name="_Toc109650585"/>
      <w:bookmarkStart w:id="1" w:name="_Toc110240026"/>
      <w:bookmarkStart w:id="2" w:name="_Toc110600021"/>
      <w:r w:rsidRPr="005352DE">
        <w:t>13.5 TRESPASS ON SCHOOL PROPERTY WITH A [FIREARM] [WEAPON]</w:t>
      </w:r>
      <w:bookmarkEnd w:id="0"/>
      <w:bookmarkEnd w:id="1"/>
      <w:bookmarkEnd w:id="2"/>
    </w:p>
    <w:p w14:paraId="16840DCC" w14:textId="77777777" w:rsidR="006D3E95" w:rsidRPr="005352DE" w:rsidRDefault="006D3E95" w:rsidP="006D3E95">
      <w:pPr>
        <w:pStyle w:val="SJIStatuteinTitle"/>
      </w:pPr>
      <w:r w:rsidRPr="005352DE">
        <w:t>§ 810.095(1), Fla. Stat.</w:t>
      </w:r>
    </w:p>
    <w:p w14:paraId="63121BF5" w14:textId="77777777" w:rsidR="006D3E95" w:rsidRPr="005352DE" w:rsidRDefault="006D3E95" w:rsidP="006D3E95">
      <w:pPr>
        <w:rPr>
          <w:b/>
        </w:rPr>
      </w:pPr>
      <w:r w:rsidRPr="005352DE">
        <w:rPr>
          <w:b/>
        </w:rPr>
        <w:t>To prove the crime of Trespass on School Property with a [Firearm] [Weapon], the State must prove the following three elements beyond a reasonable doubt:</w:t>
      </w:r>
    </w:p>
    <w:p w14:paraId="3A6A7CCD" w14:textId="77777777" w:rsidR="00A14907" w:rsidRPr="00FB7153" w:rsidRDefault="00A14907" w:rsidP="00A14907">
      <w:pPr>
        <w:pStyle w:val="SJINumberedParagraph"/>
        <w:numPr>
          <w:ilvl w:val="0"/>
          <w:numId w:val="9"/>
        </w:numPr>
        <w:ind w:left="1296" w:hanging="576"/>
        <w:rPr>
          <w:b/>
          <w:bCs/>
        </w:rPr>
      </w:pPr>
      <w:r w:rsidRPr="005352DE">
        <w:t xml:space="preserve">(Defendant) </w:t>
      </w:r>
      <w:r w:rsidRPr="00FB7153">
        <w:rPr>
          <w:b/>
          <w:bCs/>
        </w:rPr>
        <w:t>[entered] [remained] on school property.</w:t>
      </w:r>
    </w:p>
    <w:p w14:paraId="22429878" w14:textId="77777777" w:rsidR="00A14907" w:rsidRPr="005352DE" w:rsidRDefault="00A14907" w:rsidP="00A14907">
      <w:pPr>
        <w:pStyle w:val="SJITextItalic"/>
      </w:pPr>
      <w:r w:rsidRPr="005352DE">
        <w:t>Give as applicable.</w:t>
      </w:r>
    </w:p>
    <w:p w14:paraId="6FDFFED2" w14:textId="77777777" w:rsidR="00A14907" w:rsidRDefault="00A14907" w:rsidP="00A14907">
      <w:pPr>
        <w:pStyle w:val="SJINumberedParagraph"/>
        <w:numPr>
          <w:ilvl w:val="0"/>
          <w:numId w:val="9"/>
        </w:numPr>
        <w:tabs>
          <w:tab w:val="left" w:pos="1710"/>
        </w:tabs>
        <w:spacing w:after="0"/>
        <w:ind w:left="1296" w:hanging="576"/>
        <w:rPr>
          <w:b/>
          <w:bCs/>
        </w:rPr>
      </w:pPr>
      <w:r w:rsidRPr="00FB7153">
        <w:rPr>
          <w:b/>
          <w:bCs/>
        </w:rPr>
        <w:t>a.</w:t>
      </w:r>
      <w:r>
        <w:rPr>
          <w:b/>
          <w:bCs/>
        </w:rPr>
        <w:tab/>
      </w:r>
      <w:r w:rsidRPr="005352DE">
        <w:t xml:space="preserve">(Defendant) </w:t>
      </w:r>
      <w:r w:rsidRPr="00664A86">
        <w:rPr>
          <w:b/>
          <w:bCs/>
        </w:rPr>
        <w:t xml:space="preserve">did not have any legitimate business on the school </w:t>
      </w:r>
    </w:p>
    <w:p w14:paraId="7F3FA636" w14:textId="77777777" w:rsidR="00A14907" w:rsidRPr="00664A86" w:rsidRDefault="00A14907" w:rsidP="00A14907">
      <w:pPr>
        <w:pStyle w:val="SJINumberedParagraph"/>
        <w:numPr>
          <w:ilvl w:val="0"/>
          <w:numId w:val="0"/>
        </w:numPr>
        <w:tabs>
          <w:tab w:val="left" w:pos="1710"/>
        </w:tabs>
        <w:ind w:left="1710"/>
        <w:rPr>
          <w:b/>
          <w:bCs/>
        </w:rPr>
      </w:pPr>
      <w:r w:rsidRPr="00664A86">
        <w:rPr>
          <w:b/>
          <w:bCs/>
        </w:rPr>
        <w:t>property or any other authorization, license, or invitation to enter upon the school property.</w:t>
      </w:r>
    </w:p>
    <w:p w14:paraId="47D8636C" w14:textId="77777777" w:rsidR="00A14907" w:rsidRDefault="00A14907" w:rsidP="00A14907">
      <w:pPr>
        <w:pStyle w:val="SJINumberedParagraph"/>
        <w:numPr>
          <w:ilvl w:val="1"/>
          <w:numId w:val="9"/>
        </w:numPr>
        <w:ind w:left="1710" w:hanging="450"/>
        <w:rPr>
          <w:b/>
          <w:bCs/>
        </w:rPr>
      </w:pPr>
      <w:r w:rsidRPr="005352DE">
        <w:t xml:space="preserve">(Defendant) </w:t>
      </w:r>
      <w:r w:rsidRPr="008A6C9B">
        <w:rPr>
          <w:b/>
          <w:bCs/>
        </w:rPr>
        <w:t>had been authorized, licensed, or invited to enter the school property but then refused to depart when told to do so by [the principal] [the principal’s designee].</w:t>
      </w:r>
    </w:p>
    <w:p w14:paraId="536AFF2C" w14:textId="77777777" w:rsidR="00A14907" w:rsidRPr="008A6C9B" w:rsidRDefault="00A14907" w:rsidP="00A14907">
      <w:pPr>
        <w:pStyle w:val="SJINumberedParagraph"/>
        <w:numPr>
          <w:ilvl w:val="1"/>
          <w:numId w:val="9"/>
        </w:numPr>
        <w:ind w:left="1710" w:hanging="450"/>
        <w:rPr>
          <w:b/>
          <w:bCs/>
        </w:rPr>
      </w:pPr>
      <w:r w:rsidRPr="00504CEA">
        <w:t xml:space="preserve">(Defendant) </w:t>
      </w:r>
      <w:r w:rsidRPr="008A6C9B">
        <w:rPr>
          <w:b/>
          <w:bCs/>
        </w:rPr>
        <w:t>was a student under suspension or expulsion at the time [he] [she] [entered] [remained] on the school property.</w:t>
      </w:r>
    </w:p>
    <w:p w14:paraId="4ACC2C20" w14:textId="77777777" w:rsidR="00A14907" w:rsidRPr="00664A86" w:rsidRDefault="00A14907" w:rsidP="00A14907">
      <w:pPr>
        <w:pStyle w:val="SJINumberedParagraph"/>
        <w:numPr>
          <w:ilvl w:val="0"/>
          <w:numId w:val="9"/>
        </w:numPr>
        <w:ind w:left="1296" w:hanging="576"/>
        <w:rPr>
          <w:b/>
          <w:bCs/>
        </w:rPr>
      </w:pPr>
      <w:r w:rsidRPr="00664A86">
        <w:rPr>
          <w:b/>
          <w:bCs/>
        </w:rPr>
        <w:t xml:space="preserve">At the time </w:t>
      </w:r>
      <w:r w:rsidRPr="00FB7153">
        <w:t xml:space="preserve">(defendant) </w:t>
      </w:r>
      <w:r w:rsidRPr="00664A86">
        <w:rPr>
          <w:b/>
          <w:bCs/>
        </w:rPr>
        <w:t>was on the school property, [he] [she] brought onto or was in possession of a [firearm] [weapon].</w:t>
      </w:r>
    </w:p>
    <w:p w14:paraId="65905182" w14:textId="758CEDBF" w:rsidR="006D3E95" w:rsidRPr="005352DE" w:rsidRDefault="006D3E95" w:rsidP="006D3E95">
      <w:pPr>
        <w:pStyle w:val="SJITextItalic"/>
      </w:pPr>
      <w:r w:rsidRPr="005352DE">
        <w:t>§ 810.095, Fla. Stat.</w:t>
      </w:r>
    </w:p>
    <w:p w14:paraId="6C93CE47" w14:textId="77777777" w:rsidR="006D3E95" w:rsidRPr="005352DE" w:rsidRDefault="006D3E95" w:rsidP="006D3E95">
      <w:pPr>
        <w:rPr>
          <w:b/>
        </w:rPr>
      </w:pPr>
      <w:r w:rsidRPr="005352DE">
        <w:rPr>
          <w:b/>
        </w:rPr>
        <w:t>“School property” means the grounds or facility of any kindergarten, elementary school, middle school, junior high school, secondary school, career center or postsecondary school, whether public or nonpublic.</w:t>
      </w:r>
    </w:p>
    <w:p w14:paraId="7D5D62C4" w14:textId="190A36B0" w:rsidR="006D3E95" w:rsidRPr="005352DE" w:rsidRDefault="006D3E95" w:rsidP="006D3E95">
      <w:pPr>
        <w:pStyle w:val="SJITextItalic"/>
      </w:pPr>
      <w:r w:rsidRPr="005352DE">
        <w:t>§ 790.001, Fla. Stat.</w:t>
      </w:r>
      <w:r>
        <w:t xml:space="preserve"> </w:t>
      </w:r>
      <w:r w:rsidRPr="005352DE">
        <w:t>Slungshot is defined in § 790.001, Fla. Stat.</w:t>
      </w:r>
    </w:p>
    <w:p w14:paraId="02A2E57B" w14:textId="77777777" w:rsidR="006D3E95" w:rsidRPr="005352DE" w:rsidRDefault="006D3E95" w:rsidP="006D3E95">
      <w:pPr>
        <w:rPr>
          <w:b/>
        </w:rPr>
      </w:pPr>
      <w:r w:rsidRPr="005352DE">
        <w:rPr>
          <w:b/>
        </w:rPr>
        <w:t xml:space="preserve">“Weapon” means any dirk, knife, metallic knuckles, slungshot, </w:t>
      </w:r>
      <w:proofErr w:type="spellStart"/>
      <w:r w:rsidRPr="005352DE">
        <w:rPr>
          <w:b/>
        </w:rPr>
        <w:t>billie</w:t>
      </w:r>
      <w:proofErr w:type="spellEnd"/>
      <w:r w:rsidRPr="005352DE">
        <w:rPr>
          <w:b/>
        </w:rPr>
        <w:t>, tear gas gun, chemical weapon or device, or other deadly weapon except a firearm or a common pocketknife, plastic knife, or blunt-bladed table knife.</w:t>
      </w:r>
    </w:p>
    <w:p w14:paraId="415D007D" w14:textId="45A1A70C" w:rsidR="006D3E95" w:rsidRPr="005352DE" w:rsidRDefault="0055560C" w:rsidP="006D3E95">
      <w:pPr>
        <w:rPr>
          <w:b/>
        </w:rPr>
      </w:pPr>
      <w:r>
        <w:rPr>
          <w:b/>
        </w:rPr>
        <w:t>A</w:t>
      </w:r>
      <w:r w:rsidR="006D3E95" w:rsidRPr="005352DE">
        <w:rPr>
          <w:b/>
        </w:rPr>
        <w:t xml:space="preserve"> “deadly weapon” is any object other than a firearm that will likely cause death or great bodily harm if used in the ordinary and usual manner contemplated by its design and construction. </w:t>
      </w:r>
    </w:p>
    <w:p w14:paraId="1E59C4F4" w14:textId="77777777" w:rsidR="006D3E95" w:rsidRPr="005352DE" w:rsidRDefault="006D3E95" w:rsidP="006D3E95">
      <w:pPr>
        <w:rPr>
          <w:b/>
        </w:rPr>
      </w:pPr>
      <w:r w:rsidRPr="005352DE">
        <w:rPr>
          <w:b/>
        </w:rPr>
        <w:t xml:space="preserve">An object not designed to inflict bodily harm may nonetheless be a “deadly weapon” if it was [used] [or] [intended to be used] [or] [threatened to be used] in a manner likely to cause death or great bodily harm. </w:t>
      </w:r>
    </w:p>
    <w:p w14:paraId="5DE75F46" w14:textId="19ABD9F5" w:rsidR="00BB1B10" w:rsidRDefault="006D3E95" w:rsidP="00BB1B10">
      <w:pPr>
        <w:pStyle w:val="SJIText"/>
        <w:rPr>
          <w:i/>
          <w:iCs/>
          <w:szCs w:val="24"/>
        </w:rPr>
      </w:pPr>
      <w:r w:rsidRPr="00DF53BD">
        <w:rPr>
          <w:b/>
          <w:bCs/>
        </w:rPr>
        <w:t>“Great bodily harm” means great as distinguished from slight, trivial, minor, or moderate harm, and as such does not include mere bruises.</w:t>
      </w:r>
    </w:p>
    <w:p w14:paraId="334F61AE" w14:textId="11CC18FD" w:rsidR="006D3E95" w:rsidRPr="005352DE" w:rsidRDefault="006D3E95" w:rsidP="006D3E95">
      <w:pPr>
        <w:pStyle w:val="SJITextItalic"/>
      </w:pPr>
      <w:r w:rsidRPr="005352DE">
        <w:t>There is a conflict within the district courts about whether an open common pocketknife is a weapon:</w:t>
      </w:r>
    </w:p>
    <w:p w14:paraId="0763251C" w14:textId="77777777" w:rsidR="006D3E95" w:rsidRPr="005352DE" w:rsidRDefault="006D3E95" w:rsidP="006D3E95">
      <w:pPr>
        <w:pStyle w:val="SJITextItalic"/>
      </w:pPr>
      <w:r w:rsidRPr="005352DE">
        <w:t>Give if applicable. Porter v. State, 798 So. 2d 855 (Fla. 5th DCA 2001); J.R.P. v. State, 979 So. 2d 1178 (Fla. 3d DCA 2008).</w:t>
      </w:r>
    </w:p>
    <w:p w14:paraId="01934EEF" w14:textId="77777777" w:rsidR="006D3E95" w:rsidRPr="005352DE" w:rsidRDefault="006D3E95" w:rsidP="006D3E95">
      <w:pPr>
        <w:rPr>
          <w:b/>
        </w:rPr>
      </w:pPr>
      <w:r w:rsidRPr="005352DE">
        <w:rPr>
          <w:b/>
        </w:rPr>
        <w:lastRenderedPageBreak/>
        <w:t>However, an open pocketknife could constitute a weapon.</w:t>
      </w:r>
    </w:p>
    <w:p w14:paraId="0B47DD4D" w14:textId="77777777" w:rsidR="006D3E95" w:rsidRPr="005352DE" w:rsidRDefault="006D3E95" w:rsidP="006D3E95">
      <w:pPr>
        <w:pStyle w:val="SJITextItalic"/>
      </w:pPr>
      <w:r w:rsidRPr="005352DE">
        <w:t>Give if applicable. G.R.N. v. State, 220 So. 3d 1267 (Fla. 4th DCA 2017).</w:t>
      </w:r>
    </w:p>
    <w:p w14:paraId="5F018879" w14:textId="77777777" w:rsidR="006D3E95" w:rsidRPr="005352DE" w:rsidRDefault="006D3E95" w:rsidP="006D3E95">
      <w:pPr>
        <w:rPr>
          <w:b/>
        </w:rPr>
      </w:pPr>
      <w:r w:rsidRPr="005352DE">
        <w:rPr>
          <w:b/>
        </w:rPr>
        <w:t>If a common pocketknife is open, it is still considered to be a common pocketknife.</w:t>
      </w:r>
    </w:p>
    <w:p w14:paraId="58DD6375" w14:textId="1BB35B10" w:rsidR="006D3E95" w:rsidRPr="005352DE" w:rsidRDefault="006D3E95" w:rsidP="006D3E95">
      <w:pPr>
        <w:pStyle w:val="SJITextItalic"/>
      </w:pPr>
      <w:r w:rsidRPr="005352DE">
        <w:t>§ 790.001, Fla. Stat.</w:t>
      </w:r>
    </w:p>
    <w:p w14:paraId="403D6B67" w14:textId="449F2BB3" w:rsidR="006D3E95" w:rsidRPr="005352DE" w:rsidRDefault="006D3E95" w:rsidP="006D3E95">
      <w:pPr>
        <w:rPr>
          <w:i/>
        </w:rPr>
      </w:pPr>
      <w:r w:rsidRPr="005352DE">
        <w:rPr>
          <w:b/>
        </w:rPr>
        <w:t>“Firearm”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 crime.]</w:t>
      </w:r>
      <w:r w:rsidRPr="005352DE">
        <w:t xml:space="preserve"> </w:t>
      </w:r>
      <w:r w:rsidRPr="005352DE">
        <w:rPr>
          <w:i/>
        </w:rPr>
        <w:t>See Fla. Stat. § 790.001 for the definition of antique firearm.</w:t>
      </w:r>
    </w:p>
    <w:p w14:paraId="0F4E177A" w14:textId="278B5F06" w:rsidR="006D3E95" w:rsidRPr="005352DE" w:rsidRDefault="006D3E95" w:rsidP="006D3E95">
      <w:pPr>
        <w:pStyle w:val="SJITextItalic"/>
      </w:pPr>
      <w:r w:rsidRPr="005352DE">
        <w:t>§ 790.001, Fla. Stat.</w:t>
      </w:r>
    </w:p>
    <w:p w14:paraId="41E75A9E" w14:textId="77777777" w:rsidR="006D3E95" w:rsidRPr="005352DE" w:rsidRDefault="006D3E95" w:rsidP="006D3E95">
      <w:pPr>
        <w:rPr>
          <w:b/>
        </w:rPr>
      </w:pPr>
      <w:r w:rsidRPr="005352DE">
        <w:rPr>
          <w:b/>
        </w:rPr>
        <w:t>“Chemical weapon or device” means any weapon of such nature, except a device known as a “self-defense chemical spray.” “Self-defense chemical spray” means a device carried solely for purposes of lawful self-defense that is compact in size, designed to be carried on or about the person, and contains not more than two ounces of chemical.</w:t>
      </w:r>
    </w:p>
    <w:p w14:paraId="638C3B2F" w14:textId="36309E11" w:rsidR="006D3E95" w:rsidRPr="005352DE" w:rsidRDefault="006D3E95" w:rsidP="006D3E95">
      <w:pPr>
        <w:pStyle w:val="SJITextItalic"/>
      </w:pPr>
      <w:r w:rsidRPr="005352DE">
        <w:t>§ 790.001, Fla. Stat.</w:t>
      </w:r>
    </w:p>
    <w:p w14:paraId="15C76779" w14:textId="09F77E0D" w:rsidR="006D3E95" w:rsidRPr="005352DE" w:rsidRDefault="006D3E95" w:rsidP="006D3E95">
      <w:pPr>
        <w:rPr>
          <w:b/>
        </w:rPr>
      </w:pPr>
      <w:r w:rsidRPr="005352DE">
        <w:rPr>
          <w:b/>
        </w:rPr>
        <w:t xml:space="preserve">“Destructive device” means any bomb, grenade, mine, rocket, missile, </w:t>
      </w:r>
      <w:proofErr w:type="spellStart"/>
      <w:r w:rsidRPr="005352DE">
        <w:rPr>
          <w:b/>
        </w:rPr>
        <w:t>pipebomb</w:t>
      </w:r>
      <w:proofErr w:type="spellEnd"/>
      <w:r w:rsidRPr="005352DE">
        <w:rPr>
          <w:b/>
        </w:rPr>
        <w:t>, or similar device containing an explosive, incendiary, or poison gas and includes any frangible container filled with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 any device declared a destructive device by the Bureau of Alcohol, Tobacco, and Firearms; any type of weapon which will, is designed to, or may readily be converted to expel a projectile by the action of any explosive and which has a barrel with a bore of one-half inch or more in diameter; and ammunition for such destructive devices, but not including shotgun shells or any other ammunition designed for use in a firearm other than a destructive device.</w:t>
      </w:r>
    </w:p>
    <w:p w14:paraId="1DD947EE" w14:textId="77777777" w:rsidR="006D3E95" w:rsidRPr="005352DE" w:rsidRDefault="006D3E95" w:rsidP="006D3E95">
      <w:pPr>
        <w:rPr>
          <w:b/>
        </w:rPr>
      </w:pPr>
      <w:r w:rsidRPr="005352DE">
        <w:rPr>
          <w:b/>
        </w:rPr>
        <w:t>“Destructive device” does not include:</w:t>
      </w:r>
    </w:p>
    <w:p w14:paraId="33A92711" w14:textId="77777777" w:rsidR="006D3E95" w:rsidRPr="005352DE" w:rsidRDefault="006D3E95" w:rsidP="006D3E95">
      <w:pPr>
        <w:numPr>
          <w:ilvl w:val="0"/>
          <w:numId w:val="2"/>
        </w:numPr>
        <w:ind w:left="1584" w:hanging="576"/>
        <w:rPr>
          <w:b/>
          <w:lang w:val="en"/>
        </w:rPr>
      </w:pPr>
      <w:r w:rsidRPr="005352DE">
        <w:rPr>
          <w:b/>
          <w:lang w:val="en"/>
        </w:rPr>
        <w:t xml:space="preserve">A device which is not designed, redesigned, used, or intended for use as a </w:t>
      </w:r>
      <w:proofErr w:type="gramStart"/>
      <w:r w:rsidRPr="005352DE">
        <w:rPr>
          <w:b/>
          <w:lang w:val="en"/>
        </w:rPr>
        <w:t>weapon;</w:t>
      </w:r>
      <w:proofErr w:type="gramEnd"/>
    </w:p>
    <w:p w14:paraId="7B4C7417" w14:textId="77777777" w:rsidR="006D3E95" w:rsidRPr="005352DE" w:rsidRDefault="006D3E95" w:rsidP="006D3E95">
      <w:pPr>
        <w:numPr>
          <w:ilvl w:val="0"/>
          <w:numId w:val="2"/>
        </w:numPr>
        <w:ind w:left="1584" w:hanging="576"/>
        <w:rPr>
          <w:b/>
          <w:lang w:val="en"/>
        </w:rPr>
      </w:pPr>
      <w:r w:rsidRPr="005352DE">
        <w:rPr>
          <w:b/>
          <w:lang w:val="en"/>
        </w:rPr>
        <w:t xml:space="preserve">Any device, although originally designed as a weapon, which is redesigned so that it may be used solely as a signaling, line-throwing, safety, or similar </w:t>
      </w:r>
      <w:proofErr w:type="gramStart"/>
      <w:r w:rsidRPr="005352DE">
        <w:rPr>
          <w:b/>
          <w:lang w:val="en"/>
        </w:rPr>
        <w:t>device;</w:t>
      </w:r>
      <w:proofErr w:type="gramEnd"/>
    </w:p>
    <w:p w14:paraId="3F0E8A0C" w14:textId="77777777" w:rsidR="006D3E95" w:rsidRPr="005352DE" w:rsidRDefault="006D3E95" w:rsidP="006D3E95">
      <w:pPr>
        <w:numPr>
          <w:ilvl w:val="0"/>
          <w:numId w:val="2"/>
        </w:numPr>
        <w:ind w:left="1584" w:hanging="576"/>
        <w:rPr>
          <w:b/>
          <w:lang w:val="en"/>
        </w:rPr>
      </w:pPr>
      <w:r w:rsidRPr="005352DE">
        <w:rPr>
          <w:b/>
          <w:lang w:val="en"/>
        </w:rPr>
        <w:t>Any shotgun other than a short-barreled shotgun; or</w:t>
      </w:r>
    </w:p>
    <w:p w14:paraId="2BD2B338" w14:textId="76AB745D" w:rsidR="006D3E95" w:rsidRPr="005352DE" w:rsidRDefault="006D3E95" w:rsidP="006D3E95">
      <w:pPr>
        <w:numPr>
          <w:ilvl w:val="0"/>
          <w:numId w:val="2"/>
        </w:numPr>
        <w:ind w:left="1584" w:hanging="576"/>
        <w:rPr>
          <w:b/>
          <w:lang w:val="en"/>
        </w:rPr>
      </w:pPr>
      <w:r w:rsidRPr="005352DE">
        <w:rPr>
          <w:b/>
          <w:lang w:val="en"/>
        </w:rPr>
        <w:lastRenderedPageBreak/>
        <w:t>Any nonautomatic rifle (other than a short-barreled rifle) generally recognized or particularly suitable for use for the hunting of big game.</w:t>
      </w:r>
    </w:p>
    <w:p w14:paraId="4D324269" w14:textId="77777777" w:rsidR="006D3E95" w:rsidRPr="005352DE" w:rsidRDefault="006D3E95" w:rsidP="006D3E95">
      <w:pPr>
        <w:pStyle w:val="SJITextItalic"/>
      </w:pPr>
      <w:bookmarkStart w:id="3" w:name="_Hlk26364767"/>
      <w:r w:rsidRPr="005352DE">
        <w:t>Possession.</w:t>
      </w:r>
    </w:p>
    <w:p w14:paraId="1C2A9289" w14:textId="77777777" w:rsidR="006D3E95" w:rsidRPr="005352DE" w:rsidRDefault="006D3E95" w:rsidP="006D3E95">
      <w:pPr>
        <w:autoSpaceDE w:val="0"/>
        <w:autoSpaceDN w:val="0"/>
        <w:adjustRightInd w:val="0"/>
        <w:rPr>
          <w:b/>
        </w:rPr>
      </w:pPr>
      <w:r w:rsidRPr="005352DE">
        <w:rPr>
          <w:b/>
        </w:rPr>
        <w:t xml:space="preserve">To prove </w:t>
      </w:r>
      <w:r w:rsidRPr="005352DE">
        <w:t>(defendant)</w:t>
      </w:r>
      <w:r w:rsidRPr="005352DE">
        <w:rPr>
          <w:b/>
        </w:rPr>
        <w:t xml:space="preserve"> “possessed a [firearm] [weapon],” the State must prove beyond a reasonable doubt that [he] [she]: a) knew of the existence of the [firearm] [weapon], and b) intentionally exercised control over it. </w:t>
      </w:r>
    </w:p>
    <w:p w14:paraId="284443D3" w14:textId="77777777" w:rsidR="006D3E95" w:rsidRPr="005352DE" w:rsidRDefault="006D3E95" w:rsidP="006D3E95">
      <w:pPr>
        <w:pStyle w:val="SJITextItalic"/>
      </w:pPr>
      <w:r w:rsidRPr="005352DE">
        <w:t>Give if applicable.</w:t>
      </w:r>
    </w:p>
    <w:p w14:paraId="5DEAB604" w14:textId="77777777" w:rsidR="006D3E95" w:rsidRPr="005352DE" w:rsidRDefault="006D3E95" w:rsidP="006D3E95">
      <w:pPr>
        <w:autoSpaceDE w:val="0"/>
        <w:autoSpaceDN w:val="0"/>
        <w:adjustRightInd w:val="0"/>
        <w:rPr>
          <w:b/>
        </w:rPr>
      </w:pPr>
      <w:r w:rsidRPr="005352DE">
        <w:rPr>
          <w:b/>
        </w:rPr>
        <w:t xml:space="preserve">Control can be exercised over a [firearm] [weapon] whether the [firearm] [weapon] is carried on a person, near a person, or in </w:t>
      </w:r>
      <w:proofErr w:type="gramStart"/>
      <w:r w:rsidRPr="005352DE">
        <w:rPr>
          <w:b/>
        </w:rPr>
        <w:t>a completely separate</w:t>
      </w:r>
      <w:proofErr w:type="gramEnd"/>
      <w:r w:rsidRPr="005352DE">
        <w:rPr>
          <w:b/>
        </w:rPr>
        <w:t xml:space="preserve"> location on school property. Mere proximity to a [firearm] [weapon] does not establish that the person intentionally exercised control over the [firearm] [weapon] in the absence of additional evidence. Control can be established by proof that </w:t>
      </w:r>
      <w:r w:rsidRPr="005352DE">
        <w:t>(defendant)</w:t>
      </w:r>
      <w:r w:rsidRPr="005352DE">
        <w:rPr>
          <w:b/>
        </w:rPr>
        <w:t xml:space="preserve"> had direct personal power to control the [firearm] [weapon] or the present ability to direct its control by another.  </w:t>
      </w:r>
    </w:p>
    <w:p w14:paraId="1055926B" w14:textId="77777777" w:rsidR="006D3E95" w:rsidRPr="005352DE" w:rsidRDefault="006D3E95" w:rsidP="006D3E95">
      <w:pPr>
        <w:pStyle w:val="SJITextItalic"/>
      </w:pPr>
      <w:r w:rsidRPr="005352DE">
        <w:t>Joint possession. Give if applicable.</w:t>
      </w:r>
    </w:p>
    <w:p w14:paraId="0C45F390" w14:textId="77777777" w:rsidR="0055560C" w:rsidRDefault="006D3E95" w:rsidP="0055560C">
      <w:pPr>
        <w:autoSpaceDE w:val="0"/>
        <w:autoSpaceDN w:val="0"/>
        <w:adjustRightInd w:val="0"/>
        <w:rPr>
          <w:b/>
        </w:rPr>
      </w:pPr>
      <w:r w:rsidRPr="005352DE">
        <w:rPr>
          <w:b/>
        </w:rPr>
        <w:t>Possession of a [firearm] [weapon] may be sole or joint, that is, two or more persons may possess a [firearm] [weapon].</w:t>
      </w:r>
      <w:bookmarkEnd w:id="3"/>
    </w:p>
    <w:p w14:paraId="77A55D1A" w14:textId="7F9896FF" w:rsidR="006D3E95" w:rsidRPr="0055560C" w:rsidRDefault="0055560C" w:rsidP="007B0EC5">
      <w:pPr>
        <w:pStyle w:val="SJIComments"/>
      </w:pPr>
      <w:r>
        <w:t>L</w:t>
      </w:r>
      <w:r w:rsidR="006D3E95" w:rsidRPr="0055560C">
        <w:t>esser Included Offenses</w:t>
      </w:r>
    </w:p>
    <w:p w14:paraId="1DF1B877" w14:textId="77777777" w:rsidR="006D3E95" w:rsidRPr="005352DE" w:rsidRDefault="006D3E95" w:rsidP="006D3E95">
      <w:pPr>
        <w:pStyle w:val="Heading4"/>
      </w:pPr>
      <w:bookmarkStart w:id="4" w:name="_Toc109650586"/>
      <w:r w:rsidRPr="005352DE">
        <w:t>TRESPASS ON SCHOOL PROPERTY WITH A [FIREARM] [WEAPON] — 810.095(1)</w:t>
      </w:r>
      <w:bookmarkEnd w:id="4"/>
    </w:p>
    <w:tbl>
      <w:tblPr>
        <w:tblStyle w:val="TableGrid1"/>
        <w:tblW w:w="5000" w:type="pct"/>
        <w:tblLook w:val="04A0" w:firstRow="1" w:lastRow="0" w:firstColumn="1" w:lastColumn="0" w:noHBand="0" w:noVBand="1"/>
      </w:tblPr>
      <w:tblGrid>
        <w:gridCol w:w="3055"/>
        <w:gridCol w:w="2250"/>
        <w:gridCol w:w="2375"/>
        <w:gridCol w:w="1670"/>
      </w:tblGrid>
      <w:tr w:rsidR="006D3E95" w:rsidRPr="006E07B1" w14:paraId="06C6782B" w14:textId="77777777" w:rsidTr="00E96A21">
        <w:trPr>
          <w:cnfStyle w:val="100000000000" w:firstRow="1" w:lastRow="0" w:firstColumn="0" w:lastColumn="0" w:oddVBand="0" w:evenVBand="0" w:oddHBand="0" w:evenHBand="0" w:firstRowFirstColumn="0" w:firstRowLastColumn="0" w:lastRowFirstColumn="0" w:lastRowLastColumn="0"/>
          <w:tblHeader/>
        </w:trPr>
        <w:tc>
          <w:tcPr>
            <w:tcW w:w="1634" w:type="pct"/>
            <w:hideMark/>
          </w:tcPr>
          <w:p w14:paraId="5D3E772F" w14:textId="77777777" w:rsidR="006D3E95" w:rsidRPr="006E07B1" w:rsidRDefault="006D3E95" w:rsidP="00E96A21">
            <w:pPr>
              <w:pStyle w:val="SJITableText"/>
            </w:pPr>
            <w:r w:rsidRPr="006E07B1">
              <w:t>CATEGORY ONE</w:t>
            </w:r>
          </w:p>
        </w:tc>
        <w:tc>
          <w:tcPr>
            <w:tcW w:w="1203" w:type="pct"/>
            <w:hideMark/>
          </w:tcPr>
          <w:p w14:paraId="406F2AA1" w14:textId="77777777" w:rsidR="006D3E95" w:rsidRPr="006E07B1" w:rsidRDefault="006D3E95" w:rsidP="00E96A21">
            <w:pPr>
              <w:pStyle w:val="SJITableText"/>
            </w:pPr>
            <w:r w:rsidRPr="006E07B1">
              <w:t>CATEGORY TWO</w:t>
            </w:r>
          </w:p>
        </w:tc>
        <w:tc>
          <w:tcPr>
            <w:tcW w:w="1270" w:type="pct"/>
            <w:hideMark/>
          </w:tcPr>
          <w:p w14:paraId="03C33331" w14:textId="77777777" w:rsidR="006D3E95" w:rsidRPr="006E07B1" w:rsidRDefault="006D3E95" w:rsidP="00E96A21">
            <w:pPr>
              <w:pStyle w:val="SJITableText"/>
            </w:pPr>
            <w:r w:rsidRPr="006E07B1">
              <w:t>FLA. STAT.</w:t>
            </w:r>
          </w:p>
        </w:tc>
        <w:tc>
          <w:tcPr>
            <w:tcW w:w="893" w:type="pct"/>
            <w:hideMark/>
          </w:tcPr>
          <w:p w14:paraId="728F83F6" w14:textId="77777777" w:rsidR="006D3E95" w:rsidRPr="006E07B1" w:rsidRDefault="006D3E95" w:rsidP="00E96A21">
            <w:pPr>
              <w:pStyle w:val="SJITableText"/>
            </w:pPr>
            <w:r w:rsidRPr="006E07B1">
              <w:t>INS. NO.</w:t>
            </w:r>
          </w:p>
        </w:tc>
      </w:tr>
      <w:tr w:rsidR="006D3E95" w:rsidRPr="006E07B1" w14:paraId="47BA7B0C" w14:textId="77777777" w:rsidTr="00E96A21">
        <w:tc>
          <w:tcPr>
            <w:tcW w:w="1634" w:type="pct"/>
            <w:hideMark/>
          </w:tcPr>
          <w:p w14:paraId="06FCD095" w14:textId="77777777" w:rsidR="006D3E95" w:rsidRPr="006E07B1" w:rsidRDefault="006D3E95" w:rsidP="00E96A21">
            <w:pPr>
              <w:pStyle w:val="SJITableText"/>
            </w:pPr>
            <w:r w:rsidRPr="006E07B1">
              <w:t>Trespass on School Grounds or Facility After Warning By Principal (if refusal to depart is charged)</w:t>
            </w:r>
          </w:p>
        </w:tc>
        <w:tc>
          <w:tcPr>
            <w:tcW w:w="1203" w:type="pct"/>
          </w:tcPr>
          <w:p w14:paraId="2BDA9821" w14:textId="77777777" w:rsidR="006D3E95" w:rsidRPr="006E07B1" w:rsidRDefault="006D3E95" w:rsidP="00E96A21">
            <w:pPr>
              <w:pStyle w:val="SJITableText"/>
            </w:pPr>
          </w:p>
        </w:tc>
        <w:tc>
          <w:tcPr>
            <w:tcW w:w="1270" w:type="pct"/>
            <w:hideMark/>
          </w:tcPr>
          <w:p w14:paraId="7C0B0612" w14:textId="77777777" w:rsidR="006D3E95" w:rsidRPr="006E07B1" w:rsidRDefault="006D3E95" w:rsidP="00E96A21">
            <w:pPr>
              <w:pStyle w:val="SJITableText"/>
            </w:pPr>
            <w:r w:rsidRPr="006E07B1">
              <w:t>810.097(2)</w:t>
            </w:r>
          </w:p>
        </w:tc>
        <w:tc>
          <w:tcPr>
            <w:tcW w:w="893" w:type="pct"/>
            <w:hideMark/>
          </w:tcPr>
          <w:p w14:paraId="4DF4E9CF" w14:textId="77777777" w:rsidR="006D3E95" w:rsidRPr="006E07B1" w:rsidRDefault="006D3E95" w:rsidP="00E96A21">
            <w:pPr>
              <w:pStyle w:val="SJITableText"/>
            </w:pPr>
            <w:r w:rsidRPr="006E07B1">
              <w:t>13.5(b)</w:t>
            </w:r>
          </w:p>
        </w:tc>
      </w:tr>
      <w:tr w:rsidR="006D3E95" w:rsidRPr="006E07B1" w14:paraId="16DC2D7E" w14:textId="77777777" w:rsidTr="00E96A21">
        <w:tc>
          <w:tcPr>
            <w:tcW w:w="1634" w:type="pct"/>
            <w:hideMark/>
          </w:tcPr>
          <w:p w14:paraId="580F54D3" w14:textId="77777777" w:rsidR="006D3E95" w:rsidRPr="006E07B1" w:rsidRDefault="006D3E95" w:rsidP="00E96A21">
            <w:pPr>
              <w:pStyle w:val="SJITableText"/>
            </w:pPr>
            <w:r w:rsidRPr="006E07B1">
              <w:t>Trespass Upon School Grounds or Facility (if no legitimate business or student suspended is charged)</w:t>
            </w:r>
          </w:p>
        </w:tc>
        <w:tc>
          <w:tcPr>
            <w:tcW w:w="1203" w:type="pct"/>
          </w:tcPr>
          <w:p w14:paraId="5F35F7D8" w14:textId="77777777" w:rsidR="006D3E95" w:rsidRPr="006E07B1" w:rsidRDefault="006D3E95" w:rsidP="00E96A21">
            <w:pPr>
              <w:pStyle w:val="SJITableText"/>
            </w:pPr>
          </w:p>
        </w:tc>
        <w:tc>
          <w:tcPr>
            <w:tcW w:w="1270" w:type="pct"/>
            <w:hideMark/>
          </w:tcPr>
          <w:p w14:paraId="34720777" w14:textId="77777777" w:rsidR="006D3E95" w:rsidRPr="006E07B1" w:rsidRDefault="006D3E95" w:rsidP="00E96A21">
            <w:pPr>
              <w:pStyle w:val="SJITableText"/>
            </w:pPr>
            <w:r w:rsidRPr="006E07B1">
              <w:t>810.097(1)</w:t>
            </w:r>
          </w:p>
        </w:tc>
        <w:tc>
          <w:tcPr>
            <w:tcW w:w="893" w:type="pct"/>
            <w:hideMark/>
          </w:tcPr>
          <w:p w14:paraId="15952C96" w14:textId="77777777" w:rsidR="006D3E95" w:rsidRPr="006E07B1" w:rsidRDefault="006D3E95" w:rsidP="00E96A21">
            <w:pPr>
              <w:pStyle w:val="SJITableText"/>
            </w:pPr>
            <w:r w:rsidRPr="006E07B1">
              <w:t>13.5(a)</w:t>
            </w:r>
          </w:p>
        </w:tc>
      </w:tr>
      <w:tr w:rsidR="006D3E95" w:rsidRPr="006E07B1" w14:paraId="7F573833" w14:textId="77777777" w:rsidTr="00E96A21">
        <w:tc>
          <w:tcPr>
            <w:tcW w:w="1634" w:type="pct"/>
          </w:tcPr>
          <w:p w14:paraId="17C9FAB1" w14:textId="77777777" w:rsidR="006D3E95" w:rsidRPr="006E07B1" w:rsidRDefault="006D3E95" w:rsidP="00E96A21">
            <w:pPr>
              <w:pStyle w:val="SJITableText"/>
            </w:pPr>
          </w:p>
        </w:tc>
        <w:tc>
          <w:tcPr>
            <w:tcW w:w="1203" w:type="pct"/>
            <w:hideMark/>
          </w:tcPr>
          <w:p w14:paraId="3AA30974" w14:textId="77777777" w:rsidR="006D3E95" w:rsidRPr="006E07B1" w:rsidRDefault="006D3E95" w:rsidP="00E96A21">
            <w:pPr>
              <w:pStyle w:val="SJITableText"/>
            </w:pPr>
            <w:r w:rsidRPr="006E07B1">
              <w:t>Attempt</w:t>
            </w:r>
          </w:p>
        </w:tc>
        <w:tc>
          <w:tcPr>
            <w:tcW w:w="1270" w:type="pct"/>
            <w:hideMark/>
          </w:tcPr>
          <w:p w14:paraId="1BAE86FA" w14:textId="77777777" w:rsidR="006D3E95" w:rsidRPr="006E07B1" w:rsidRDefault="006D3E95" w:rsidP="00E96A21">
            <w:pPr>
              <w:pStyle w:val="SJITableText"/>
            </w:pPr>
            <w:r w:rsidRPr="006E07B1">
              <w:t>777.04(1)</w:t>
            </w:r>
          </w:p>
        </w:tc>
        <w:tc>
          <w:tcPr>
            <w:tcW w:w="893" w:type="pct"/>
            <w:hideMark/>
          </w:tcPr>
          <w:p w14:paraId="117CE483" w14:textId="77777777" w:rsidR="006D3E95" w:rsidRPr="006E07B1" w:rsidRDefault="006D3E95" w:rsidP="00E96A21">
            <w:pPr>
              <w:pStyle w:val="SJITableText"/>
            </w:pPr>
            <w:r w:rsidRPr="006E07B1">
              <w:t>5.1</w:t>
            </w:r>
          </w:p>
        </w:tc>
      </w:tr>
      <w:tr w:rsidR="006D3E95" w:rsidRPr="006E07B1" w14:paraId="1E7440D9" w14:textId="77777777" w:rsidTr="00E96A21">
        <w:tc>
          <w:tcPr>
            <w:tcW w:w="1634" w:type="pct"/>
          </w:tcPr>
          <w:p w14:paraId="5013E8B9" w14:textId="77777777" w:rsidR="006D3E95" w:rsidRPr="006E07B1" w:rsidRDefault="006D3E95" w:rsidP="00E96A21">
            <w:pPr>
              <w:pStyle w:val="SJITableText"/>
            </w:pPr>
          </w:p>
        </w:tc>
        <w:tc>
          <w:tcPr>
            <w:tcW w:w="1203" w:type="pct"/>
            <w:hideMark/>
          </w:tcPr>
          <w:p w14:paraId="26D3E623" w14:textId="77777777" w:rsidR="006D3E95" w:rsidRPr="006E07B1" w:rsidRDefault="006D3E95" w:rsidP="00E96A21">
            <w:pPr>
              <w:pStyle w:val="SJITableText"/>
            </w:pPr>
            <w:r w:rsidRPr="006E07B1">
              <w:t>Trespass in Structure or On Property Other than a Structure (depending on charging document)</w:t>
            </w:r>
          </w:p>
        </w:tc>
        <w:tc>
          <w:tcPr>
            <w:tcW w:w="1270" w:type="pct"/>
            <w:hideMark/>
          </w:tcPr>
          <w:p w14:paraId="2A3099E5" w14:textId="77777777" w:rsidR="006D3E95" w:rsidRPr="006E07B1" w:rsidRDefault="006D3E95" w:rsidP="00E96A21">
            <w:pPr>
              <w:pStyle w:val="SJITableText"/>
            </w:pPr>
            <w:r w:rsidRPr="006E07B1">
              <w:t>810.08 or 810.09</w:t>
            </w:r>
          </w:p>
        </w:tc>
        <w:tc>
          <w:tcPr>
            <w:tcW w:w="893" w:type="pct"/>
            <w:hideMark/>
          </w:tcPr>
          <w:p w14:paraId="258C9D1E" w14:textId="77777777" w:rsidR="006D3E95" w:rsidRPr="006E07B1" w:rsidRDefault="006D3E95" w:rsidP="00E96A21">
            <w:pPr>
              <w:pStyle w:val="SJITableText"/>
            </w:pPr>
            <w:r w:rsidRPr="006E07B1">
              <w:t>13.3 or 13.4</w:t>
            </w:r>
          </w:p>
        </w:tc>
      </w:tr>
    </w:tbl>
    <w:p w14:paraId="37E0531B" w14:textId="77777777" w:rsidR="0055560C" w:rsidRDefault="0055560C" w:rsidP="006D3E95">
      <w:pPr>
        <w:pStyle w:val="SJIComments"/>
      </w:pPr>
    </w:p>
    <w:p w14:paraId="5CD720A8" w14:textId="77777777" w:rsidR="0055560C" w:rsidRDefault="0055560C" w:rsidP="006D3E95">
      <w:pPr>
        <w:pStyle w:val="SJIComments"/>
      </w:pPr>
    </w:p>
    <w:p w14:paraId="6CE87A1B" w14:textId="33E1145E" w:rsidR="006D3E95" w:rsidRPr="005352DE" w:rsidRDefault="006D3E95" w:rsidP="006D3E95">
      <w:pPr>
        <w:pStyle w:val="SJIComments"/>
      </w:pPr>
      <w:r w:rsidRPr="005352DE">
        <w:t>Comments</w:t>
      </w:r>
    </w:p>
    <w:p w14:paraId="299D133B" w14:textId="77777777" w:rsidR="0055560C" w:rsidRDefault="006D3E95" w:rsidP="0055560C">
      <w:pPr>
        <w:spacing w:after="280"/>
      </w:pPr>
      <w:r w:rsidRPr="005352DE">
        <w:t>A special instruction will be necessary in cases where the deadly weapon was an animal or a substance or something that is not commonly referred to as an “object.”</w:t>
      </w:r>
    </w:p>
    <w:p w14:paraId="1DB8436E" w14:textId="33FA6FBA" w:rsidR="006D3E95" w:rsidRPr="005352DE" w:rsidRDefault="006D3E95" w:rsidP="0055560C">
      <w:pPr>
        <w:spacing w:after="280"/>
      </w:pPr>
      <w:r w:rsidRPr="005352DE">
        <w:t>This instruction was adopted in 2013 [122 So. 3d 263] and amended in 2018 [253 So. 3d 1040], and on April 3, 2020.</w:t>
      </w:r>
    </w:p>
    <w:p w14:paraId="40FF91C0"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32403D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A4202FF"/>
    <w:multiLevelType w:val="hybridMultilevel"/>
    <w:tmpl w:val="537293B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317A438A"/>
    <w:multiLevelType w:val="hybridMultilevel"/>
    <w:tmpl w:val="A922F000"/>
    <w:lvl w:ilvl="0" w:tplc="FFFFFFFF">
      <w:start w:val="1"/>
      <w:numFmt w:val="decimal"/>
      <w:lvlText w:val="%1."/>
      <w:lvlJc w:val="left"/>
      <w:pPr>
        <w:ind w:left="1080" w:hanging="360"/>
      </w:pPr>
      <w:rPr>
        <w:rFonts w:cs="Times New Roman" w:hint="default"/>
        <w:b/>
        <w:bCs/>
        <w:i w:val="0"/>
        <w:iCs w:val="0"/>
      </w:rPr>
    </w:lvl>
    <w:lvl w:ilvl="1" w:tplc="28A21BDA">
      <w:start w:val="2"/>
      <w:numFmt w:val="lowerLetter"/>
      <w:lvlText w:val="%2."/>
      <w:lvlJc w:val="left"/>
      <w:pPr>
        <w:ind w:left="1800" w:hanging="360"/>
      </w:pPr>
      <w:rPr>
        <w:rFonts w:cs="Times New Roman" w:hint="default"/>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 w15:restartNumberingAfterBreak="0">
    <w:nsid w:val="53BF7BC6"/>
    <w:multiLevelType w:val="hybridMultilevel"/>
    <w:tmpl w:val="D19E49E4"/>
    <w:lvl w:ilvl="0" w:tplc="00424EF2">
      <w:start w:val="1"/>
      <w:numFmt w:val="decimal"/>
      <w:lvlText w:val="%1."/>
      <w:lvlJc w:val="left"/>
      <w:pPr>
        <w:ind w:left="1080" w:hanging="360"/>
      </w:pPr>
      <w:rPr>
        <w:rFonts w:cs="Times New Roman" w:hint="default"/>
        <w:b/>
        <w:bCs/>
        <w:i w:val="0"/>
        <w:iCs w:val="0"/>
      </w:rPr>
    </w:lvl>
    <w:lvl w:ilvl="1" w:tplc="20826B24">
      <w:start w:val="2"/>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16cid:durableId="663704843">
    <w:abstractNumId w:val="5"/>
  </w:num>
  <w:num w:numId="2" w16cid:durableId="839396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1428404">
    <w:abstractNumId w:val="4"/>
  </w:num>
  <w:num w:numId="4" w16cid:durableId="1165170747">
    <w:abstractNumId w:val="4"/>
  </w:num>
  <w:num w:numId="5" w16cid:durableId="969944367">
    <w:abstractNumId w:val="2"/>
  </w:num>
  <w:num w:numId="6" w16cid:durableId="1032919179">
    <w:abstractNumId w:val="2"/>
  </w:num>
  <w:num w:numId="7" w16cid:durableId="539324227">
    <w:abstractNumId w:val="1"/>
  </w:num>
  <w:num w:numId="8" w16cid:durableId="1568681806">
    <w:abstractNumId w:val="0"/>
  </w:num>
  <w:num w:numId="9" w16cid:durableId="126777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95"/>
    <w:rsid w:val="000C3475"/>
    <w:rsid w:val="0013509B"/>
    <w:rsid w:val="00276059"/>
    <w:rsid w:val="003E05DE"/>
    <w:rsid w:val="00454153"/>
    <w:rsid w:val="00476CCE"/>
    <w:rsid w:val="00504CEA"/>
    <w:rsid w:val="005352DE"/>
    <w:rsid w:val="0055560C"/>
    <w:rsid w:val="00590CDB"/>
    <w:rsid w:val="005E2897"/>
    <w:rsid w:val="00664A86"/>
    <w:rsid w:val="006A4D50"/>
    <w:rsid w:val="006D3E95"/>
    <w:rsid w:val="006E07B1"/>
    <w:rsid w:val="00701D86"/>
    <w:rsid w:val="00761A7A"/>
    <w:rsid w:val="007B0EC5"/>
    <w:rsid w:val="007D1EBA"/>
    <w:rsid w:val="00883E2C"/>
    <w:rsid w:val="009435D1"/>
    <w:rsid w:val="00A14907"/>
    <w:rsid w:val="00A956F9"/>
    <w:rsid w:val="00BA7F11"/>
    <w:rsid w:val="00BB1B10"/>
    <w:rsid w:val="00C02BBF"/>
    <w:rsid w:val="00D9583C"/>
    <w:rsid w:val="00DF53BD"/>
    <w:rsid w:val="00E96A21"/>
    <w:rsid w:val="00F1105B"/>
    <w:rsid w:val="00FB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E404E"/>
  <w14:defaultImageDpi w14:val="0"/>
  <w15:docId w15:val="{0722FE0D-EA12-4883-B2F9-1158225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E9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D3E9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D3E9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D3E9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D3E95"/>
    <w:pPr>
      <w:outlineLvl w:val="3"/>
    </w:pPr>
  </w:style>
  <w:style w:type="paragraph" w:styleId="Heading5">
    <w:name w:val="heading 5"/>
    <w:basedOn w:val="Normal"/>
    <w:next w:val="Normal"/>
    <w:link w:val="Heading5Char"/>
    <w:uiPriority w:val="9"/>
    <w:qFormat/>
    <w:rsid w:val="006D3E9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D3E9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D3E9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D3E9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D3E9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D3E9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D3E9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D3E9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D3E9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D3E9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D3E95"/>
    <w:rPr>
      <w:rFonts w:ascii="Times New Roman" w:hAnsi="Times New Roman" w:cs="Times New Roman"/>
      <w:b/>
      <w:bCs/>
    </w:rPr>
  </w:style>
  <w:style w:type="character" w:customStyle="1" w:styleId="Heading7Char">
    <w:name w:val="Heading 7 Char"/>
    <w:basedOn w:val="DefaultParagraphFont"/>
    <w:link w:val="Heading7"/>
    <w:uiPriority w:val="9"/>
    <w:locked/>
    <w:rsid w:val="006D3E9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D3E9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D3E9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6D3E95"/>
    <w:rPr>
      <w:rFonts w:cs="Times New Roman"/>
    </w:rPr>
  </w:style>
  <w:style w:type="paragraph" w:customStyle="1" w:styleId="SJIStatuteinTitle">
    <w:name w:val="SJI Statute in Title"/>
    <w:basedOn w:val="Normal"/>
    <w:qFormat/>
    <w:rsid w:val="006D3E9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D3E95"/>
    <w:pPr>
      <w:tabs>
        <w:tab w:val="left" w:pos="720"/>
      </w:tabs>
      <w:suppressAutoHyphens/>
      <w:spacing w:after="0"/>
    </w:pPr>
    <w:rPr>
      <w:rFonts w:cs="Times New Roman"/>
      <w:i/>
      <w:iCs/>
      <w:szCs w:val="24"/>
    </w:rPr>
  </w:style>
  <w:style w:type="paragraph" w:customStyle="1" w:styleId="SJITableText">
    <w:name w:val="SJI Table Text"/>
    <w:basedOn w:val="Normal"/>
    <w:qFormat/>
    <w:rsid w:val="006D3E9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6D3E95"/>
    <w:pPr>
      <w:spacing w:before="220"/>
      <w:ind w:firstLine="0"/>
      <w:jc w:val="center"/>
    </w:pPr>
    <w:rPr>
      <w:rFonts w:cs="Courier New"/>
      <w:b/>
    </w:rPr>
  </w:style>
  <w:style w:type="table" w:customStyle="1" w:styleId="TableGrid1">
    <w:name w:val="Table Grid1"/>
    <w:basedOn w:val="TableNormal"/>
    <w:next w:val="TableGrid"/>
    <w:uiPriority w:val="99"/>
    <w:rsid w:val="006D3E9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paragraph" w:customStyle="1" w:styleId="SJINumberedParagraph">
    <w:name w:val="SJI Numbered Paragraph"/>
    <w:basedOn w:val="ListParagraph"/>
    <w:qFormat/>
    <w:rsid w:val="006D3E95"/>
    <w:pPr>
      <w:numPr>
        <w:numId w:val="6"/>
      </w:numPr>
    </w:pPr>
    <w:rPr>
      <w:rFonts w:cs="Times New Roman"/>
    </w:rPr>
  </w:style>
  <w:style w:type="table" w:styleId="TableGrid">
    <w:name w:val="Table Grid"/>
    <w:basedOn w:val="TableNormal"/>
    <w:uiPriority w:val="39"/>
    <w:rsid w:val="006D3E9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E95"/>
    <w:pPr>
      <w:ind w:left="720"/>
    </w:pPr>
  </w:style>
  <w:style w:type="paragraph" w:customStyle="1" w:styleId="SJIlist1">
    <w:name w:val="SJI list 1"/>
    <w:basedOn w:val="Normal"/>
    <w:qFormat/>
    <w:rsid w:val="006D3E95"/>
    <w:pPr>
      <w:widowControl w:val="0"/>
      <w:autoSpaceDE w:val="0"/>
      <w:autoSpaceDN w:val="0"/>
      <w:adjustRightInd w:val="0"/>
      <w:ind w:left="1296" w:hanging="576"/>
    </w:pPr>
    <w:rPr>
      <w:rFonts w:cs="Times New Roman"/>
    </w:rPr>
  </w:style>
  <w:style w:type="character" w:customStyle="1" w:styleId="SJIBold">
    <w:name w:val="SJI Bold"/>
    <w:uiPriority w:val="1"/>
    <w:qFormat/>
    <w:rsid w:val="006D3E95"/>
    <w:rPr>
      <w:b/>
    </w:rPr>
  </w:style>
  <w:style w:type="paragraph" w:customStyle="1" w:styleId="SJITableTitle">
    <w:name w:val="SJI Table Title"/>
    <w:basedOn w:val="Normal"/>
    <w:qFormat/>
    <w:rsid w:val="006D3E9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D3E95"/>
    <w:pPr>
      <w:widowControl w:val="0"/>
      <w:autoSpaceDE w:val="0"/>
      <w:autoSpaceDN w:val="0"/>
      <w:adjustRightInd w:val="0"/>
      <w:spacing w:before="120" w:after="120"/>
      <w:ind w:left="864" w:hanging="864"/>
    </w:pPr>
    <w:rPr>
      <w:rFonts w:cs="Times New Roman"/>
      <w:szCs w:val="28"/>
    </w:rPr>
  </w:style>
  <w:style w:type="paragraph" w:customStyle="1" w:styleId="SJITableNotation">
    <w:name w:val="SJI Table Notation"/>
    <w:basedOn w:val="SJITableText"/>
    <w:qFormat/>
    <w:rsid w:val="006D3E95"/>
    <w:pPr>
      <w:spacing w:before="120" w:after="240"/>
    </w:pPr>
  </w:style>
  <w:style w:type="character" w:customStyle="1" w:styleId="SJIUnderline">
    <w:name w:val="SJI Underline"/>
    <w:uiPriority w:val="1"/>
    <w:qFormat/>
    <w:rsid w:val="006D3E95"/>
    <w:rPr>
      <w:rFonts w:ascii="Times New Roman" w:hAnsi="Times New Roman"/>
      <w:sz w:val="28"/>
      <w:u w:val="single"/>
    </w:rPr>
  </w:style>
  <w:style w:type="paragraph" w:styleId="Caption">
    <w:name w:val="caption"/>
    <w:basedOn w:val="Normal"/>
    <w:next w:val="Normal"/>
    <w:uiPriority w:val="35"/>
    <w:semiHidden/>
    <w:unhideWhenUsed/>
    <w:qFormat/>
    <w:rsid w:val="006D3E9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D3E95"/>
    <w:pPr>
      <w:jc w:val="center"/>
    </w:pPr>
    <w:rPr>
      <w:rFonts w:cs="Times New Roman"/>
      <w:b/>
      <w:bCs/>
      <w:sz w:val="28"/>
      <w:szCs w:val="28"/>
    </w:rPr>
  </w:style>
  <w:style w:type="character" w:customStyle="1" w:styleId="TitleChar">
    <w:name w:val="Title Char"/>
    <w:basedOn w:val="DefaultParagraphFont"/>
    <w:link w:val="Title"/>
    <w:uiPriority w:val="10"/>
    <w:locked/>
    <w:rsid w:val="006D3E9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D3E9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D3E9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D3E9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D3E95"/>
    <w:rPr>
      <w:rFonts w:ascii="Bookman Old Style" w:hAnsi="Bookman Old Style" w:cs="Times New Roman"/>
      <w:color w:val="000000"/>
    </w:rPr>
  </w:style>
  <w:style w:type="paragraph" w:styleId="Quote">
    <w:name w:val="Quote"/>
    <w:basedOn w:val="Normal"/>
    <w:next w:val="Normal"/>
    <w:link w:val="QuoteChar"/>
    <w:uiPriority w:val="29"/>
    <w:qFormat/>
    <w:rsid w:val="006D3E9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D3E9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D3E9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D3E9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D3E9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1061</Words>
  <Characters>5454</Characters>
  <Application>Microsoft Office Word</Application>
  <DocSecurity>0</DocSecurity>
  <Lines>45</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9</cp:revision>
  <dcterms:created xsi:type="dcterms:W3CDTF">2023-07-11T21:11:00Z</dcterms:created>
  <dcterms:modified xsi:type="dcterms:W3CDTF">2023-07-12T14:38:00Z</dcterms:modified>
</cp:coreProperties>
</file>