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9863B" w14:textId="77777777" w:rsidR="001A702C" w:rsidRPr="00A13C32" w:rsidRDefault="001A702C" w:rsidP="001A702C">
      <w:pPr>
        <w:pStyle w:val="Heading3"/>
      </w:pPr>
      <w:bookmarkStart w:id="0" w:name="_Toc109650553"/>
      <w:bookmarkStart w:id="1" w:name="_Toc110240010"/>
      <w:bookmarkStart w:id="2" w:name="_Toc110600005"/>
      <w:r w:rsidRPr="00A13C32">
        <w:t>12.1 ARSON — FIRST DEGREE</w:t>
      </w:r>
      <w:bookmarkEnd w:id="0"/>
      <w:bookmarkEnd w:id="1"/>
      <w:bookmarkEnd w:id="2"/>
    </w:p>
    <w:p w14:paraId="4EDF346A" w14:textId="77777777" w:rsidR="001A702C" w:rsidRPr="00A13C32" w:rsidRDefault="001A702C" w:rsidP="001A702C">
      <w:pPr>
        <w:pStyle w:val="SJIStatuteinTitle"/>
      </w:pPr>
      <w:r w:rsidRPr="00A13C32">
        <w:t>§ 806.01(1), Fla. Stat.</w:t>
      </w:r>
    </w:p>
    <w:p w14:paraId="571EC289" w14:textId="77777777" w:rsidR="00F20A9F" w:rsidRPr="00A13C32" w:rsidRDefault="00F20A9F" w:rsidP="00F20A9F">
      <w:pPr>
        <w:tabs>
          <w:tab w:val="left" w:pos="720"/>
        </w:tabs>
        <w:suppressAutoHyphens/>
        <w:rPr>
          <w:b/>
          <w:bCs/>
        </w:rPr>
      </w:pPr>
      <w:r w:rsidRPr="00A13C32">
        <w:rPr>
          <w:b/>
          <w:bCs/>
        </w:rPr>
        <w:t>To prove the crime of Arson, the State must prove the following two elements beyond a reasonable doubt:</w:t>
      </w:r>
    </w:p>
    <w:p w14:paraId="5219EBF1" w14:textId="77777777" w:rsidR="00F20A9F" w:rsidRPr="00A13C32" w:rsidRDefault="00F20A9F" w:rsidP="00F20A9F">
      <w:pPr>
        <w:numPr>
          <w:ilvl w:val="0"/>
          <w:numId w:val="2"/>
        </w:numPr>
        <w:tabs>
          <w:tab w:val="left" w:pos="720"/>
        </w:tabs>
        <w:suppressAutoHyphens/>
        <w:ind w:left="1296" w:hanging="576"/>
      </w:pPr>
      <w:r w:rsidRPr="00A13C32">
        <w:t xml:space="preserve">(Defendant) </w:t>
      </w:r>
      <w:r w:rsidRPr="00A13C32">
        <w:rPr>
          <w:b/>
          <w:bCs/>
        </w:rPr>
        <w:t>[willfully and unlawfully] [while engaged in the commission of [a felony] [</w:t>
      </w:r>
      <w:r w:rsidRPr="00A13C32">
        <w:rPr>
          <w:bCs/>
        </w:rPr>
        <w:t>(felony alleged)</w:t>
      </w:r>
      <w:r w:rsidRPr="00A13C32">
        <w:rPr>
          <w:b/>
          <w:bCs/>
        </w:rPr>
        <w:t>]]</w:t>
      </w:r>
      <w:r w:rsidRPr="00A13C32">
        <w:rPr>
          <w:bCs/>
        </w:rPr>
        <w:t xml:space="preserve"> </w:t>
      </w:r>
      <w:r w:rsidRPr="00A13C32">
        <w:rPr>
          <w:b/>
          <w:bCs/>
        </w:rPr>
        <w:t>caused a[n] [fire] [explosion].</w:t>
      </w:r>
    </w:p>
    <w:p w14:paraId="477D6527" w14:textId="77777777" w:rsidR="00F20A9F" w:rsidRDefault="00F20A9F" w:rsidP="00F20A9F">
      <w:pPr>
        <w:pStyle w:val="SJITextItalic"/>
      </w:pPr>
      <w:r w:rsidRPr="00A13C32">
        <w:t>Give 2a if § 806.01(1)(a), Fla. Stat. is charged.</w:t>
      </w:r>
    </w:p>
    <w:p w14:paraId="309E5286" w14:textId="77777777" w:rsidR="00F20A9F" w:rsidRPr="00C9111F" w:rsidRDefault="00F20A9F" w:rsidP="00F20A9F">
      <w:pPr>
        <w:ind w:left="1800" w:hanging="1080"/>
        <w:rPr>
          <w:b/>
          <w:bCs/>
        </w:rPr>
      </w:pPr>
      <w:r>
        <w:rPr>
          <w:b/>
          <w:bCs/>
        </w:rPr>
        <w:t>2.    a.</w:t>
      </w:r>
      <w:r>
        <w:rPr>
          <w:b/>
          <w:bCs/>
        </w:rPr>
        <w:tab/>
      </w:r>
      <w:r w:rsidRPr="00C9111F">
        <w:rPr>
          <w:b/>
          <w:bCs/>
        </w:rPr>
        <w:t>dwelling, whether occupied or not, [or the contents of the dwelling,] was damaged by the [fire] [explosion].</w:t>
      </w:r>
    </w:p>
    <w:p w14:paraId="44D0B1DA" w14:textId="77777777" w:rsidR="00F20A9F" w:rsidRPr="00A13C32" w:rsidRDefault="00F20A9F" w:rsidP="00F20A9F">
      <w:pPr>
        <w:pStyle w:val="SJITextItalic"/>
      </w:pPr>
      <w:r w:rsidRPr="00A13C32">
        <w:rPr>
          <w:bCs/>
        </w:rPr>
        <w:t xml:space="preserve">Give 2b if </w:t>
      </w:r>
      <w:r w:rsidRPr="00A13C32">
        <w:t>§ 806.01(1)(b), Fla. Stat. is charged.</w:t>
      </w:r>
    </w:p>
    <w:p w14:paraId="1543C380" w14:textId="77777777" w:rsidR="00F20A9F" w:rsidRPr="00CD09B4" w:rsidRDefault="00F20A9F" w:rsidP="00F20A9F">
      <w:pPr>
        <w:pStyle w:val="ListParagraph"/>
        <w:numPr>
          <w:ilvl w:val="0"/>
          <w:numId w:val="5"/>
        </w:numPr>
        <w:tabs>
          <w:tab w:val="left" w:pos="1800"/>
        </w:tabs>
        <w:suppressAutoHyphens/>
        <w:ind w:left="1800"/>
        <w:rPr>
          <w:b/>
          <w:bCs/>
        </w:rPr>
      </w:pPr>
      <w:r w:rsidRPr="00CD09B4">
        <w:rPr>
          <w:b/>
          <w:bCs/>
        </w:rPr>
        <w:t>A structure, where persons would normally be present at the time of the [fire] [explosion], [or the contents of a structure where persons would normally be present at the time of the [fire] [explosion]], was damaged by the [fire] [explosion].</w:t>
      </w:r>
    </w:p>
    <w:p w14:paraId="63AFCE07" w14:textId="77777777" w:rsidR="00F20A9F" w:rsidRPr="00A13C32" w:rsidRDefault="00F20A9F" w:rsidP="00F20A9F">
      <w:pPr>
        <w:pStyle w:val="SJITextItalic"/>
      </w:pPr>
      <w:r w:rsidRPr="00A13C32">
        <w:t>Give 2c if § 806.01(1)(c), Fla. Stat. is charged.</w:t>
      </w:r>
    </w:p>
    <w:p w14:paraId="6A7FDC26" w14:textId="77777777" w:rsidR="00F20A9F" w:rsidRPr="00951266" w:rsidRDefault="00F20A9F" w:rsidP="00F20A9F">
      <w:pPr>
        <w:pStyle w:val="ListParagraph"/>
        <w:numPr>
          <w:ilvl w:val="0"/>
          <w:numId w:val="5"/>
        </w:numPr>
        <w:tabs>
          <w:tab w:val="left" w:pos="1800"/>
        </w:tabs>
        <w:suppressAutoHyphens/>
        <w:ind w:left="1800"/>
        <w:rPr>
          <w:b/>
          <w:bCs/>
        </w:rPr>
      </w:pPr>
      <w:r w:rsidRPr="00951266">
        <w:rPr>
          <w:b/>
          <w:bCs/>
        </w:rPr>
        <w:t>A structure, that (defendant) knew or had reasonable grounds to believe would be occupied by a human being at the time of the [fire] [explosion], was damaged by the [fire] [explosion].</w:t>
      </w:r>
    </w:p>
    <w:p w14:paraId="552689EB" w14:textId="77777777" w:rsidR="001A702C" w:rsidRPr="00A13C32" w:rsidRDefault="001A702C" w:rsidP="001A702C">
      <w:pPr>
        <w:pStyle w:val="SJITextItalic"/>
      </w:pPr>
      <w:r w:rsidRPr="00A13C32">
        <w:t>Knighten v. State, 568 So. 2d 1001 (Fla. 2d DCA 1990) and N.K.D. v. State, 799 So. 2d 428 (Fla. 1st DCA 2001).</w:t>
      </w:r>
    </w:p>
    <w:p w14:paraId="4285F109" w14:textId="77777777" w:rsidR="001A702C" w:rsidRPr="00A13C32" w:rsidRDefault="001A702C" w:rsidP="001A702C">
      <w:pPr>
        <w:tabs>
          <w:tab w:val="left" w:pos="720"/>
        </w:tabs>
        <w:suppressAutoHyphens/>
        <w:rPr>
          <w:b/>
          <w:iCs/>
        </w:rPr>
      </w:pPr>
      <w:proofErr w:type="gramStart"/>
      <w:r w:rsidRPr="00A13C32">
        <w:rPr>
          <w:b/>
          <w:iCs/>
        </w:rPr>
        <w:t>In order to</w:t>
      </w:r>
      <w:proofErr w:type="gramEnd"/>
      <w:r w:rsidRPr="00A13C32">
        <w:rPr>
          <w:b/>
          <w:iCs/>
        </w:rPr>
        <w:t xml:space="preserve"> convict the defendant of Arson, it is not necessary for the State to prove [he] [she] intended to damage the [dwelling] [structure].</w:t>
      </w:r>
    </w:p>
    <w:p w14:paraId="277CB8FE" w14:textId="77777777" w:rsidR="001A702C" w:rsidRPr="00A13C32" w:rsidRDefault="001A702C" w:rsidP="001A702C">
      <w:pPr>
        <w:pStyle w:val="SJITextItalic"/>
      </w:pPr>
      <w:r w:rsidRPr="00A13C32">
        <w:t>Give if applicable.</w:t>
      </w:r>
    </w:p>
    <w:p w14:paraId="76D1B020" w14:textId="77777777" w:rsidR="001A702C" w:rsidRPr="00A13C32" w:rsidRDefault="001A702C" w:rsidP="001A702C">
      <w:pPr>
        <w:tabs>
          <w:tab w:val="left" w:pos="720"/>
        </w:tabs>
        <w:suppressAutoHyphens/>
        <w:rPr>
          <w:b/>
          <w:iCs/>
        </w:rPr>
      </w:pPr>
      <w:r w:rsidRPr="00A13C32">
        <w:rPr>
          <w:b/>
          <w:iCs/>
        </w:rPr>
        <w:t xml:space="preserve">The Court instructs you that </w:t>
      </w:r>
      <w:r w:rsidRPr="00A13C32">
        <w:rPr>
          <w:iCs/>
        </w:rPr>
        <w:t xml:space="preserve">(name of felony) </w:t>
      </w:r>
      <w:r w:rsidRPr="00A13C32">
        <w:rPr>
          <w:b/>
          <w:iCs/>
        </w:rPr>
        <w:t>is a felony.</w:t>
      </w:r>
    </w:p>
    <w:p w14:paraId="655EC33E" w14:textId="77777777" w:rsidR="001A702C" w:rsidRPr="00A13C32" w:rsidRDefault="001A702C" w:rsidP="001A702C">
      <w:pPr>
        <w:tabs>
          <w:tab w:val="left" w:pos="720"/>
        </w:tabs>
        <w:suppressAutoHyphens/>
        <w:rPr>
          <w:i/>
        </w:rPr>
      </w:pPr>
      <w:r w:rsidRPr="00A13C32">
        <w:rPr>
          <w:i/>
          <w:iCs/>
        </w:rPr>
        <w:t>Definitions. Give as applicable.</w:t>
      </w:r>
    </w:p>
    <w:p w14:paraId="7F751908" w14:textId="77777777" w:rsidR="001A702C" w:rsidRPr="00A13C32" w:rsidRDefault="001A702C" w:rsidP="001A702C">
      <w:pPr>
        <w:pStyle w:val="SJITextItalic"/>
      </w:pPr>
      <w:r w:rsidRPr="00A13C32">
        <w:t xml:space="preserve">Patterson v. State, 512 So. 2d 1109 (Fla. 1st DCA 1987).  </w:t>
      </w:r>
    </w:p>
    <w:p w14:paraId="4A4E3D3E" w14:textId="77777777" w:rsidR="001A702C" w:rsidRPr="00A13C32" w:rsidRDefault="001A702C" w:rsidP="001A702C">
      <w:pPr>
        <w:tabs>
          <w:tab w:val="left" w:pos="9360"/>
        </w:tabs>
        <w:rPr>
          <w:b/>
        </w:rPr>
      </w:pPr>
      <w:r w:rsidRPr="00A13C32">
        <w:rPr>
          <w:b/>
        </w:rPr>
        <w:t>“Willfully” means intentionally, knowingly, and purposely.</w:t>
      </w:r>
    </w:p>
    <w:p w14:paraId="36905EBF" w14:textId="77777777" w:rsidR="001A702C" w:rsidRPr="00A13C32" w:rsidRDefault="001A702C" w:rsidP="001A702C">
      <w:pPr>
        <w:pStyle w:val="SJITextItalic"/>
      </w:pPr>
      <w:r w:rsidRPr="00A13C32">
        <w:t xml:space="preserve">Berry v. State, 566 So. 2d 22 (Fla. 1st DCA 1990). </w:t>
      </w:r>
    </w:p>
    <w:p w14:paraId="5B8F9C74" w14:textId="77777777" w:rsidR="001A702C" w:rsidRPr="00A13C32" w:rsidRDefault="001A702C" w:rsidP="001A702C">
      <w:pPr>
        <w:tabs>
          <w:tab w:val="left" w:pos="9360"/>
        </w:tabs>
        <w:rPr>
          <w:b/>
        </w:rPr>
      </w:pPr>
      <w:r w:rsidRPr="00A13C32">
        <w:rPr>
          <w:b/>
        </w:rPr>
        <w:t xml:space="preserve">“Unlawfully” means without a legitimate, lawful purpose. </w:t>
      </w:r>
    </w:p>
    <w:p w14:paraId="2F71EA87" w14:textId="77777777" w:rsidR="001A702C" w:rsidRPr="00A13C32" w:rsidRDefault="001A702C" w:rsidP="001A702C">
      <w:pPr>
        <w:pStyle w:val="SJITextItalic"/>
      </w:pPr>
      <w:r w:rsidRPr="00A13C32">
        <w:t>§ 810.011(2), Fla. Stat. Dubose v. State, 210 So. 3d 641 (Fla. 2017).</w:t>
      </w:r>
    </w:p>
    <w:p w14:paraId="403F1575" w14:textId="77777777" w:rsidR="001A702C" w:rsidRPr="00A13C32" w:rsidRDefault="001A702C" w:rsidP="001A702C">
      <w:pPr>
        <w:rPr>
          <w:b/>
        </w:rPr>
      </w:pPr>
      <w:r w:rsidRPr="00A13C32">
        <w:rPr>
          <w:b/>
        </w:rPr>
        <w:t xml:space="preserve">“Dwelling” means a building [or conveyance] of any kind, whether such building [or conveyance] is temporary or permanent, </w:t>
      </w:r>
      <w:proofErr w:type="gramStart"/>
      <w:r w:rsidRPr="00A13C32">
        <w:rPr>
          <w:b/>
        </w:rPr>
        <w:t>mobile</w:t>
      </w:r>
      <w:proofErr w:type="gramEnd"/>
      <w:r w:rsidRPr="00A13C32">
        <w:rPr>
          <w:b/>
        </w:rPr>
        <w:t xml:space="preserve"> or immobile, which has a roof over it and is designed to be occupied by people lodging therein at night, together with the enclosed space of ground and outbuildings immediately surrounding it. [The enclosure need not be continuous as it may have an ungated opening for entering and exiting.] For purposes of arson, a “dwelling” includes an attached porch or attached garage.</w:t>
      </w:r>
    </w:p>
    <w:p w14:paraId="4F27103B" w14:textId="77777777" w:rsidR="001A702C" w:rsidRPr="00A13C32" w:rsidRDefault="001A702C" w:rsidP="001A702C">
      <w:pPr>
        <w:pStyle w:val="SJITextItalic"/>
        <w:rPr>
          <w:b/>
          <w:bCs/>
        </w:rPr>
      </w:pPr>
      <w:r w:rsidRPr="00A13C32">
        <w:lastRenderedPageBreak/>
        <w:t>§ 806.01(3), Fla. Stat.</w:t>
      </w:r>
    </w:p>
    <w:p w14:paraId="28A68266" w14:textId="77777777" w:rsidR="001A702C" w:rsidRPr="00A13C32" w:rsidRDefault="001A702C" w:rsidP="001A702C">
      <w:pPr>
        <w:tabs>
          <w:tab w:val="left" w:pos="720"/>
        </w:tabs>
        <w:suppressAutoHyphens/>
        <w:rPr>
          <w:b/>
          <w:bCs/>
        </w:rPr>
      </w:pPr>
      <w:r w:rsidRPr="00A13C32">
        <w:rPr>
          <w:b/>
          <w:bCs/>
        </w:rPr>
        <w:t>“Structure” means any building of any kind, any enclosed area with a roof over it, any real property and appurtenances, any tent or other portable building, and any vehicle, vessel, watercraft, or aircraft.</w:t>
      </w:r>
    </w:p>
    <w:p w14:paraId="16E54A2A" w14:textId="77777777" w:rsidR="001A702C" w:rsidRPr="00A13C32" w:rsidRDefault="001A702C" w:rsidP="001A702C">
      <w:pPr>
        <w:tabs>
          <w:tab w:val="left" w:pos="720"/>
        </w:tabs>
        <w:suppressAutoHyphens/>
      </w:pPr>
      <w:r w:rsidRPr="00A13C32">
        <w:rPr>
          <w:i/>
        </w:rPr>
        <w:t>If the defendant is charged with causing a fire or explosion while committing a felony, define the felony that the defendant was allegedly committing.</w:t>
      </w:r>
    </w:p>
    <w:p w14:paraId="755AEF31" w14:textId="77777777" w:rsidR="001A702C" w:rsidRPr="00A13C32" w:rsidRDefault="001A702C" w:rsidP="001A702C">
      <w:pPr>
        <w:pStyle w:val="SJIComments"/>
      </w:pPr>
      <w:r w:rsidRPr="00A13C32">
        <w:t>Lesser Included Offenses</w:t>
      </w:r>
    </w:p>
    <w:p w14:paraId="3C972502" w14:textId="77777777" w:rsidR="001A702C" w:rsidRPr="00A13C32" w:rsidRDefault="001A702C" w:rsidP="001A702C">
      <w:pPr>
        <w:pStyle w:val="Heading4"/>
      </w:pPr>
      <w:bookmarkStart w:id="3" w:name="_Toc109650554"/>
      <w:r w:rsidRPr="00A13C32">
        <w:t>ARSON — 806.01(1)</w:t>
      </w:r>
      <w:bookmarkEnd w:id="3"/>
    </w:p>
    <w:tbl>
      <w:tblPr>
        <w:tblStyle w:val="TableGrid1"/>
        <w:tblW w:w="5000" w:type="pct"/>
        <w:tblLook w:val="0020" w:firstRow="1" w:lastRow="0" w:firstColumn="0" w:lastColumn="0" w:noHBand="0" w:noVBand="0"/>
      </w:tblPr>
      <w:tblGrid>
        <w:gridCol w:w="2991"/>
        <w:gridCol w:w="2992"/>
        <w:gridCol w:w="1964"/>
        <w:gridCol w:w="1403"/>
      </w:tblGrid>
      <w:tr w:rsidR="001A702C" w:rsidRPr="00A13C32" w14:paraId="5B3D6FC9" w14:textId="77777777" w:rsidTr="00E96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9" w:type="pct"/>
          </w:tcPr>
          <w:p w14:paraId="0D73A176" w14:textId="77777777" w:rsidR="001A702C" w:rsidRPr="00A13C32" w:rsidRDefault="001A702C" w:rsidP="00E96A21">
            <w:pPr>
              <w:pStyle w:val="SJITableText"/>
            </w:pPr>
            <w:r w:rsidRPr="00A13C32">
              <w:t>CATEGORY ONE</w:t>
            </w:r>
          </w:p>
        </w:tc>
        <w:tc>
          <w:tcPr>
            <w:tcW w:w="1600" w:type="pct"/>
          </w:tcPr>
          <w:p w14:paraId="2805D647" w14:textId="77777777" w:rsidR="001A702C" w:rsidRPr="00A13C32" w:rsidRDefault="001A702C" w:rsidP="00E96A21">
            <w:pPr>
              <w:pStyle w:val="SJITableText"/>
            </w:pPr>
            <w:r w:rsidRPr="00A13C32">
              <w:t>CATEGORY TWO</w:t>
            </w:r>
          </w:p>
        </w:tc>
        <w:tc>
          <w:tcPr>
            <w:tcW w:w="1050" w:type="pct"/>
          </w:tcPr>
          <w:p w14:paraId="02FA344B" w14:textId="77777777" w:rsidR="001A702C" w:rsidRPr="00A13C32" w:rsidRDefault="001A702C" w:rsidP="00E96A21">
            <w:pPr>
              <w:pStyle w:val="SJITableText"/>
            </w:pPr>
            <w:r w:rsidRPr="00A13C32">
              <w:t>FLA. STAT.</w:t>
            </w:r>
          </w:p>
        </w:tc>
        <w:tc>
          <w:tcPr>
            <w:tcW w:w="750" w:type="pct"/>
          </w:tcPr>
          <w:p w14:paraId="53B4D432" w14:textId="77777777" w:rsidR="001A702C" w:rsidRPr="00A13C32" w:rsidRDefault="001A702C" w:rsidP="00E96A21">
            <w:pPr>
              <w:pStyle w:val="SJITableText"/>
            </w:pPr>
            <w:r w:rsidRPr="00A13C32">
              <w:t>INS. NO.</w:t>
            </w:r>
          </w:p>
        </w:tc>
      </w:tr>
      <w:tr w:rsidR="001A702C" w:rsidRPr="00A13C32" w14:paraId="4AC02383" w14:textId="77777777" w:rsidTr="00E96A21">
        <w:tc>
          <w:tcPr>
            <w:tcW w:w="1599" w:type="pct"/>
          </w:tcPr>
          <w:p w14:paraId="5EF658E5" w14:textId="77777777" w:rsidR="001A702C" w:rsidRPr="00A13C32" w:rsidRDefault="001A702C" w:rsidP="00E96A21">
            <w:pPr>
              <w:pStyle w:val="SJITableText"/>
            </w:pPr>
            <w:r w:rsidRPr="00A13C32">
              <w:t>None</w:t>
            </w:r>
          </w:p>
        </w:tc>
        <w:tc>
          <w:tcPr>
            <w:tcW w:w="1600" w:type="pct"/>
          </w:tcPr>
          <w:p w14:paraId="2BBD3218" w14:textId="77777777" w:rsidR="001A702C" w:rsidRPr="00A13C32" w:rsidRDefault="001A702C" w:rsidP="00E96A21">
            <w:pPr>
              <w:pStyle w:val="SJITableText"/>
            </w:pPr>
          </w:p>
        </w:tc>
        <w:tc>
          <w:tcPr>
            <w:tcW w:w="1050" w:type="pct"/>
          </w:tcPr>
          <w:p w14:paraId="14378196" w14:textId="77777777" w:rsidR="001A702C" w:rsidRPr="00A13C32" w:rsidRDefault="001A702C" w:rsidP="00E96A21">
            <w:pPr>
              <w:pStyle w:val="SJITableText"/>
              <w:rPr>
                <w:strike/>
              </w:rPr>
            </w:pPr>
          </w:p>
        </w:tc>
        <w:tc>
          <w:tcPr>
            <w:tcW w:w="750" w:type="pct"/>
          </w:tcPr>
          <w:p w14:paraId="30731A2E" w14:textId="77777777" w:rsidR="001A702C" w:rsidRPr="00A13C32" w:rsidRDefault="001A702C" w:rsidP="00E96A21">
            <w:pPr>
              <w:pStyle w:val="SJITableText"/>
              <w:rPr>
                <w:strike/>
              </w:rPr>
            </w:pPr>
          </w:p>
        </w:tc>
      </w:tr>
      <w:tr w:rsidR="001A702C" w:rsidRPr="00A13C32" w14:paraId="4C4AB98F" w14:textId="77777777" w:rsidTr="00E96A21">
        <w:tc>
          <w:tcPr>
            <w:tcW w:w="1599" w:type="pct"/>
          </w:tcPr>
          <w:p w14:paraId="481F3966" w14:textId="77777777" w:rsidR="001A702C" w:rsidRPr="00A13C32" w:rsidRDefault="001A702C" w:rsidP="00E96A21">
            <w:pPr>
              <w:pStyle w:val="SJITableText"/>
              <w:rPr>
                <w:strike/>
              </w:rPr>
            </w:pPr>
          </w:p>
        </w:tc>
        <w:tc>
          <w:tcPr>
            <w:tcW w:w="1600" w:type="pct"/>
          </w:tcPr>
          <w:p w14:paraId="70E9CB9A" w14:textId="77777777" w:rsidR="001A702C" w:rsidRPr="00A13C32" w:rsidRDefault="001A702C" w:rsidP="00E96A21">
            <w:pPr>
              <w:pStyle w:val="SJITableText"/>
            </w:pPr>
            <w:r w:rsidRPr="00A13C32">
              <w:t>Arson – second degree</w:t>
            </w:r>
          </w:p>
        </w:tc>
        <w:tc>
          <w:tcPr>
            <w:tcW w:w="1050" w:type="pct"/>
          </w:tcPr>
          <w:p w14:paraId="5434D312" w14:textId="77777777" w:rsidR="001A702C" w:rsidRPr="00A13C32" w:rsidRDefault="001A702C" w:rsidP="00E96A21">
            <w:pPr>
              <w:pStyle w:val="SJITableText"/>
            </w:pPr>
            <w:r w:rsidRPr="00A13C32">
              <w:t>806.01(2)</w:t>
            </w:r>
          </w:p>
        </w:tc>
        <w:tc>
          <w:tcPr>
            <w:tcW w:w="750" w:type="pct"/>
          </w:tcPr>
          <w:p w14:paraId="09924AC2" w14:textId="77777777" w:rsidR="001A702C" w:rsidRPr="00A13C32" w:rsidRDefault="001A702C" w:rsidP="00E96A21">
            <w:pPr>
              <w:pStyle w:val="SJITableText"/>
            </w:pPr>
            <w:r w:rsidRPr="00A13C32">
              <w:t>12.2</w:t>
            </w:r>
          </w:p>
        </w:tc>
      </w:tr>
      <w:tr w:rsidR="001A702C" w:rsidRPr="00A13C32" w14:paraId="63880CE8" w14:textId="77777777" w:rsidTr="00E96A21">
        <w:tc>
          <w:tcPr>
            <w:tcW w:w="1599" w:type="pct"/>
          </w:tcPr>
          <w:p w14:paraId="69BD8EEB" w14:textId="77777777" w:rsidR="001A702C" w:rsidRPr="00A13C32" w:rsidRDefault="001A702C" w:rsidP="00E96A21">
            <w:pPr>
              <w:pStyle w:val="SJITableText"/>
            </w:pPr>
          </w:p>
        </w:tc>
        <w:tc>
          <w:tcPr>
            <w:tcW w:w="1600" w:type="pct"/>
          </w:tcPr>
          <w:p w14:paraId="2820C3C2" w14:textId="77777777" w:rsidR="001A702C" w:rsidRPr="00A13C32" w:rsidRDefault="001A702C" w:rsidP="00E96A21">
            <w:pPr>
              <w:pStyle w:val="SJITableText"/>
            </w:pPr>
            <w:r w:rsidRPr="00A13C32">
              <w:t>Attempt</w:t>
            </w:r>
          </w:p>
        </w:tc>
        <w:tc>
          <w:tcPr>
            <w:tcW w:w="1050" w:type="pct"/>
          </w:tcPr>
          <w:p w14:paraId="0C02C305" w14:textId="77777777" w:rsidR="001A702C" w:rsidRPr="00A13C32" w:rsidRDefault="001A702C" w:rsidP="00E96A21">
            <w:pPr>
              <w:pStyle w:val="SJITableText"/>
            </w:pPr>
            <w:r w:rsidRPr="00A13C32">
              <w:t>777.04(1)</w:t>
            </w:r>
          </w:p>
        </w:tc>
        <w:tc>
          <w:tcPr>
            <w:tcW w:w="750" w:type="pct"/>
          </w:tcPr>
          <w:p w14:paraId="61004C9D" w14:textId="77777777" w:rsidR="001A702C" w:rsidRPr="00A13C32" w:rsidRDefault="001A702C" w:rsidP="00E96A21">
            <w:pPr>
              <w:pStyle w:val="SJITableText"/>
            </w:pPr>
            <w:r w:rsidRPr="00A13C32">
              <w:t>5.1</w:t>
            </w:r>
          </w:p>
        </w:tc>
      </w:tr>
      <w:tr w:rsidR="001A702C" w:rsidRPr="00A13C32" w14:paraId="13F7E840" w14:textId="77777777" w:rsidTr="00E96A21">
        <w:tc>
          <w:tcPr>
            <w:tcW w:w="1599" w:type="pct"/>
          </w:tcPr>
          <w:p w14:paraId="7564135E" w14:textId="77777777" w:rsidR="001A702C" w:rsidRPr="00A13C32" w:rsidRDefault="001A702C" w:rsidP="00E96A21">
            <w:pPr>
              <w:pStyle w:val="SJITableText"/>
            </w:pPr>
          </w:p>
        </w:tc>
        <w:tc>
          <w:tcPr>
            <w:tcW w:w="1600" w:type="pct"/>
          </w:tcPr>
          <w:p w14:paraId="1B47FD5A" w14:textId="77777777" w:rsidR="001A702C" w:rsidRPr="00A13C32" w:rsidRDefault="001A702C" w:rsidP="00E96A21">
            <w:pPr>
              <w:pStyle w:val="SJITableText"/>
            </w:pPr>
            <w:r w:rsidRPr="00A13C32">
              <w:t>Criminal mischief</w:t>
            </w:r>
          </w:p>
        </w:tc>
        <w:tc>
          <w:tcPr>
            <w:tcW w:w="1050" w:type="pct"/>
          </w:tcPr>
          <w:p w14:paraId="33CF3771" w14:textId="77777777" w:rsidR="001A702C" w:rsidRPr="00A13C32" w:rsidRDefault="001A702C" w:rsidP="00E96A21">
            <w:pPr>
              <w:pStyle w:val="SJITableText"/>
            </w:pPr>
            <w:r w:rsidRPr="00A13C32">
              <w:t>806.13</w:t>
            </w:r>
          </w:p>
        </w:tc>
        <w:tc>
          <w:tcPr>
            <w:tcW w:w="750" w:type="pct"/>
          </w:tcPr>
          <w:p w14:paraId="2F8ECA69" w14:textId="77777777" w:rsidR="001A702C" w:rsidRPr="00A13C32" w:rsidRDefault="001A702C" w:rsidP="00E96A21">
            <w:pPr>
              <w:pStyle w:val="SJITableText"/>
            </w:pPr>
            <w:r w:rsidRPr="00A13C32">
              <w:t>12.4</w:t>
            </w:r>
          </w:p>
        </w:tc>
      </w:tr>
    </w:tbl>
    <w:p w14:paraId="2895AB61" w14:textId="77777777" w:rsidR="001A702C" w:rsidRPr="00A13C32" w:rsidRDefault="001A702C" w:rsidP="001A702C">
      <w:pPr>
        <w:pStyle w:val="SJIComments"/>
      </w:pPr>
      <w:r w:rsidRPr="00A13C32">
        <w:t>Comments</w:t>
      </w:r>
    </w:p>
    <w:p w14:paraId="10DC70B2" w14:textId="77777777" w:rsidR="001A702C" w:rsidRPr="00A13C32" w:rsidRDefault="001A702C" w:rsidP="001A702C">
      <w:pPr>
        <w:tabs>
          <w:tab w:val="left" w:pos="720"/>
        </w:tabs>
        <w:suppressAutoHyphens/>
      </w:pPr>
      <w:r w:rsidRPr="00A13C32">
        <w:t xml:space="preserve">A special instruction is necessary in cases where the dwelling is </w:t>
      </w:r>
      <w:proofErr w:type="gramStart"/>
      <w:r w:rsidRPr="00A13C32">
        <w:t>vacant</w:t>
      </w:r>
      <w:proofErr w:type="gramEnd"/>
      <w:r w:rsidRPr="00A13C32">
        <w:t xml:space="preserve"> and the homeowner does not intend to return. </w:t>
      </w:r>
      <w:r w:rsidRPr="00A13C32">
        <w:rPr>
          <w:i/>
        </w:rPr>
        <w:t>See Mitchell v. State</w:t>
      </w:r>
      <w:r w:rsidRPr="00A13C32">
        <w:t>, 734 So. 2d 1067 (Fla. 1st DCA 1999).</w:t>
      </w:r>
    </w:p>
    <w:p w14:paraId="73DC28F0" w14:textId="77777777" w:rsidR="001A702C" w:rsidRDefault="001A702C" w:rsidP="001A702C">
      <w:pPr>
        <w:tabs>
          <w:tab w:val="left" w:pos="720"/>
        </w:tabs>
        <w:suppressAutoHyphens/>
      </w:pPr>
      <w:r w:rsidRPr="00A13C32">
        <w:t>This instruction was adopted in 1981 and was amended in 1992 [603 So. 2d 1175], 2014 [146 So. 3d 1110], and 2018.</w:t>
      </w:r>
    </w:p>
    <w:p w14:paraId="601B7BF1" w14:textId="77777777" w:rsidR="009435D1" w:rsidRDefault="009435D1"/>
    <w:sectPr w:rsidR="00943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61D99"/>
    <w:multiLevelType w:val="hybridMultilevel"/>
    <w:tmpl w:val="4E5A4682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5711525"/>
    <w:multiLevelType w:val="multilevel"/>
    <w:tmpl w:val="9E2211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8156103"/>
    <w:multiLevelType w:val="multilevel"/>
    <w:tmpl w:val="D5F4B462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67101B70"/>
    <w:multiLevelType w:val="hybridMultilevel"/>
    <w:tmpl w:val="8500D1A2"/>
    <w:lvl w:ilvl="0" w:tplc="6CB00610">
      <w:start w:val="2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2C"/>
    <w:rsid w:val="000411EF"/>
    <w:rsid w:val="001A702C"/>
    <w:rsid w:val="00276059"/>
    <w:rsid w:val="003E05DE"/>
    <w:rsid w:val="007D1EBA"/>
    <w:rsid w:val="009435D1"/>
    <w:rsid w:val="00951266"/>
    <w:rsid w:val="00A13C32"/>
    <w:rsid w:val="00B446D2"/>
    <w:rsid w:val="00C503AA"/>
    <w:rsid w:val="00E96A21"/>
    <w:rsid w:val="00F2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703F4A"/>
  <w14:defaultImageDpi w14:val="0"/>
  <w15:docId w15:val="{0722FE0D-EA12-4883-B2F9-1158225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02C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702C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A702C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A702C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1A702C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1A702C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1A702C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1A702C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1A702C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1A702C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A702C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1A702C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1A702C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1A702C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1A702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1A702C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1A702C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1A702C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1A702C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1A702C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1A702C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1A702C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Comments">
    <w:name w:val="SJI Comments"/>
    <w:basedOn w:val="Normal"/>
    <w:qFormat/>
    <w:rsid w:val="001A702C"/>
    <w:pPr>
      <w:spacing w:before="220"/>
      <w:ind w:firstLine="0"/>
      <w:jc w:val="center"/>
    </w:pPr>
    <w:rPr>
      <w:rFonts w:cs="Courier New"/>
      <w:b/>
    </w:rPr>
  </w:style>
  <w:style w:type="table" w:customStyle="1" w:styleId="TableGrid1">
    <w:name w:val="Table Grid1"/>
    <w:basedOn w:val="TableNormal"/>
    <w:next w:val="TableGrid"/>
    <w:uiPriority w:val="99"/>
    <w:rsid w:val="001A702C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1A702C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list1">
    <w:name w:val="SJI list 1"/>
    <w:basedOn w:val="Normal"/>
    <w:qFormat/>
    <w:rsid w:val="001A702C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1A702C"/>
    <w:rPr>
      <w:b/>
    </w:rPr>
  </w:style>
  <w:style w:type="paragraph" w:customStyle="1" w:styleId="SJIText">
    <w:name w:val="SJI Text"/>
    <w:basedOn w:val="Normal"/>
    <w:next w:val="Normal"/>
    <w:qFormat/>
    <w:rsid w:val="001A702C"/>
    <w:rPr>
      <w:rFonts w:cs="Times New Roman"/>
    </w:rPr>
  </w:style>
  <w:style w:type="paragraph" w:customStyle="1" w:styleId="SJITableTitle">
    <w:name w:val="SJI Table Title"/>
    <w:basedOn w:val="Normal"/>
    <w:qFormat/>
    <w:rsid w:val="001A702C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1A702C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1A702C"/>
    <w:pPr>
      <w:numPr>
        <w:numId w:val="4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1A702C"/>
    <w:pPr>
      <w:ind w:left="720"/>
    </w:pPr>
  </w:style>
  <w:style w:type="paragraph" w:customStyle="1" w:styleId="SJITableNotation">
    <w:name w:val="SJI Table Notation"/>
    <w:basedOn w:val="SJITableText"/>
    <w:qFormat/>
    <w:rsid w:val="001A702C"/>
    <w:pPr>
      <w:spacing w:before="120" w:after="240"/>
    </w:pPr>
  </w:style>
  <w:style w:type="character" w:customStyle="1" w:styleId="SJIUnderline">
    <w:name w:val="SJI Underline"/>
    <w:uiPriority w:val="1"/>
    <w:qFormat/>
    <w:rsid w:val="001A702C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702C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1A702C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1A702C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1A702C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02C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1A702C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A702C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1A702C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1A702C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02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1A702C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702C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4</cp:revision>
  <dcterms:created xsi:type="dcterms:W3CDTF">2023-01-11T15:14:00Z</dcterms:created>
  <dcterms:modified xsi:type="dcterms:W3CDTF">2023-01-11T15:15:00Z</dcterms:modified>
</cp:coreProperties>
</file>