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117C" w14:textId="21849233" w:rsidR="006A61CF" w:rsidRPr="0066077B" w:rsidRDefault="006A61CF" w:rsidP="006A61CF">
      <w:pPr>
        <w:pStyle w:val="Heading3"/>
      </w:pPr>
      <w:bookmarkStart w:id="0" w:name="_Toc109650457"/>
      <w:bookmarkStart w:id="1" w:name="_Toc109807665"/>
      <w:r w:rsidRPr="0066077B">
        <w:t>11.5 SOLICITATION OF A CHILD TO ENGAGE IN AN ACT THAT CONSTITUTES SEXUAL BATTERY BY A PERSON IN FAMILIAL OR CUSTODIAL AUTHORITY</w:t>
      </w:r>
      <w:bookmarkEnd w:id="0"/>
      <w:bookmarkEnd w:id="1"/>
      <w:r w:rsidR="00191AF2">
        <w:t>**</w:t>
      </w:r>
    </w:p>
    <w:p w14:paraId="01DC917A" w14:textId="77777777" w:rsidR="006A61CF" w:rsidRPr="0066077B" w:rsidRDefault="006A61CF" w:rsidP="006A61CF">
      <w:pPr>
        <w:pStyle w:val="SJIStatuteinTitle"/>
        <w:rPr>
          <w:rFonts w:cs="Bookman Old Style"/>
        </w:rPr>
      </w:pPr>
      <w:r w:rsidRPr="681C0A06">
        <w:rPr>
          <w:rFonts w:cs="Bookman Old Style"/>
        </w:rPr>
        <w:t>§ 794.011(8)(a), Fla. Stat.</w:t>
      </w:r>
    </w:p>
    <w:p w14:paraId="05C5971E" w14:textId="77777777" w:rsidR="006A61CF" w:rsidRPr="0066077B" w:rsidRDefault="006A61CF" w:rsidP="006A61CF">
      <w:pPr>
        <w:tabs>
          <w:tab w:val="left" w:pos="720"/>
        </w:tabs>
        <w:suppressAutoHyphens/>
        <w:rPr>
          <w:b/>
          <w:bCs/>
        </w:rPr>
      </w:pPr>
      <w:r w:rsidRPr="0066077B">
        <w:rPr>
          <w:b/>
          <w:bCs/>
        </w:rPr>
        <w:t>To prove the crime of Solicitation of a Child to Engage in an Act that Constitutes Sexual Battery by a Person in Familial or Custodial Authority, the State must prove the following three elements beyond a reasonable doubt:</w:t>
      </w:r>
    </w:p>
    <w:p w14:paraId="08430A4F" w14:textId="77777777" w:rsidR="006A61CF" w:rsidRPr="00FA0AEE" w:rsidRDefault="006A61CF" w:rsidP="006A61CF">
      <w:pPr>
        <w:pStyle w:val="ListParagraph"/>
        <w:numPr>
          <w:ilvl w:val="0"/>
          <w:numId w:val="3"/>
        </w:numPr>
        <w:tabs>
          <w:tab w:val="left" w:pos="720"/>
        </w:tabs>
        <w:suppressAutoHyphens/>
        <w:ind w:left="1296" w:hanging="576"/>
        <w:rPr>
          <w:b/>
          <w:bCs/>
        </w:rPr>
      </w:pPr>
      <w:r w:rsidRPr="0066077B">
        <w:t>(Defendant</w:t>
      </w:r>
      <w:r w:rsidRPr="00FA0AEE">
        <w:rPr>
          <w:b/>
          <w:bCs/>
        </w:rPr>
        <w:t>)</w:t>
      </w:r>
      <w:r w:rsidRPr="0066077B">
        <w:t xml:space="preserve"> </w:t>
      </w:r>
      <w:r w:rsidRPr="00FA0AEE">
        <w:rPr>
          <w:b/>
        </w:rPr>
        <w:t xml:space="preserve">solicited </w:t>
      </w:r>
      <w:r w:rsidRPr="0066077B">
        <w:t xml:space="preserve">(victim) </w:t>
      </w:r>
      <w:r w:rsidRPr="00FA0AEE">
        <w:rPr>
          <w:b/>
          <w:bCs/>
        </w:rPr>
        <w:t xml:space="preserve">to engage in a </w:t>
      </w:r>
      <w:r w:rsidR="000C0AE2">
        <w:rPr>
          <w:b/>
          <w:bCs/>
        </w:rPr>
        <w:t>S</w:t>
      </w:r>
      <w:r w:rsidRPr="00FA0AEE">
        <w:rPr>
          <w:b/>
          <w:bCs/>
        </w:rPr>
        <w:t xml:space="preserve">exual </w:t>
      </w:r>
      <w:r w:rsidR="000C0AE2">
        <w:rPr>
          <w:b/>
          <w:bCs/>
        </w:rPr>
        <w:t>B</w:t>
      </w:r>
      <w:r w:rsidRPr="00FA0AEE">
        <w:rPr>
          <w:b/>
          <w:bCs/>
        </w:rPr>
        <w:t xml:space="preserve">attery. </w:t>
      </w:r>
    </w:p>
    <w:p w14:paraId="0EEF29D9" w14:textId="77777777" w:rsidR="006A61CF" w:rsidRPr="001260B2" w:rsidRDefault="006A61CF" w:rsidP="006A61CF">
      <w:pPr>
        <w:pStyle w:val="ListParagraph"/>
        <w:numPr>
          <w:ilvl w:val="0"/>
          <w:numId w:val="3"/>
        </w:numPr>
        <w:tabs>
          <w:tab w:val="left" w:pos="720"/>
        </w:tabs>
        <w:suppressAutoHyphens/>
        <w:ind w:left="1296" w:hanging="576"/>
        <w:rPr>
          <w:b/>
          <w:bCs/>
        </w:rPr>
      </w:pPr>
      <w:r w:rsidRPr="00FA0AEE">
        <w:rPr>
          <w:b/>
          <w:bCs/>
        </w:rPr>
        <w:t xml:space="preserve">At the </w:t>
      </w:r>
      <w:r w:rsidRPr="001260B2">
        <w:rPr>
          <w:b/>
          <w:bCs/>
        </w:rPr>
        <w:t xml:space="preserve">time, </w:t>
      </w:r>
      <w:r w:rsidRPr="001260B2">
        <w:rPr>
          <w:bCs/>
        </w:rPr>
        <w:t xml:space="preserve">(victim) </w:t>
      </w:r>
      <w:r w:rsidRPr="001260B2">
        <w:rPr>
          <w:b/>
          <w:bCs/>
        </w:rPr>
        <w:t>was less than 18 years of age.</w:t>
      </w:r>
    </w:p>
    <w:p w14:paraId="0825140C" w14:textId="77777777" w:rsidR="006A61CF" w:rsidRPr="001260B2" w:rsidRDefault="006A61CF" w:rsidP="006A61CF">
      <w:pPr>
        <w:pStyle w:val="ListParagraph"/>
        <w:numPr>
          <w:ilvl w:val="0"/>
          <w:numId w:val="3"/>
        </w:numPr>
        <w:tabs>
          <w:tab w:val="left" w:pos="720"/>
        </w:tabs>
        <w:suppressAutoHyphens/>
        <w:ind w:left="1296" w:hanging="576"/>
        <w:rPr>
          <w:bCs/>
        </w:rPr>
      </w:pPr>
      <w:r w:rsidRPr="001260B2">
        <w:rPr>
          <w:b/>
          <w:bCs/>
        </w:rPr>
        <w:t xml:space="preserve">At the time, </w:t>
      </w:r>
      <w:r w:rsidRPr="001260B2">
        <w:rPr>
          <w:bCs/>
        </w:rPr>
        <w:t xml:space="preserve">(defendant) </w:t>
      </w:r>
      <w:r w:rsidRPr="001260B2">
        <w:rPr>
          <w:b/>
          <w:bCs/>
        </w:rPr>
        <w:t xml:space="preserve">was in a position of familial or custodial authority to </w:t>
      </w:r>
      <w:r w:rsidRPr="001260B2">
        <w:rPr>
          <w:bCs/>
        </w:rPr>
        <w:t xml:space="preserve">(victim). </w:t>
      </w:r>
    </w:p>
    <w:p w14:paraId="117ED55F" w14:textId="77777777" w:rsidR="006A61CF" w:rsidRPr="001260B2" w:rsidRDefault="006A61CF" w:rsidP="00A25FAE">
      <w:pPr>
        <w:suppressAutoHyphens/>
        <w:ind w:left="720" w:firstLine="0"/>
        <w:rPr>
          <w:b/>
        </w:rPr>
      </w:pPr>
      <w:r w:rsidRPr="001260B2">
        <w:rPr>
          <w:b/>
          <w:bCs/>
        </w:rPr>
        <w:t>“</w:t>
      </w:r>
      <w:r w:rsidRPr="001260B2">
        <w:rPr>
          <w:b/>
        </w:rPr>
        <w:t>Sexual Battery” means:</w:t>
      </w:r>
    </w:p>
    <w:p w14:paraId="49CC5C27" w14:textId="15A68EEF" w:rsidR="006A61CF" w:rsidRPr="00024980" w:rsidRDefault="006A61CF" w:rsidP="00C8172F">
      <w:pPr>
        <w:pStyle w:val="ListParagraph"/>
        <w:numPr>
          <w:ilvl w:val="0"/>
          <w:numId w:val="6"/>
        </w:numPr>
        <w:ind w:left="1620"/>
      </w:pPr>
      <w:r w:rsidRPr="00C8172F">
        <w:rPr>
          <w:b/>
          <w:bCs/>
        </w:rPr>
        <w:t>the sexual organ of the [</w:t>
      </w:r>
      <w:r w:rsidRPr="00024980">
        <w:t>(defendant)</w:t>
      </w:r>
      <w:r w:rsidRPr="00C8172F">
        <w:rPr>
          <w:b/>
          <w:bCs/>
        </w:rPr>
        <w:t>]</w:t>
      </w:r>
      <w:r w:rsidRPr="00024980">
        <w:t xml:space="preserve"> </w:t>
      </w:r>
      <w:r w:rsidRPr="00C8172F">
        <w:rPr>
          <w:b/>
          <w:bCs/>
        </w:rPr>
        <w:t>[</w:t>
      </w:r>
      <w:r w:rsidRPr="00024980">
        <w:t>(victim)</w:t>
      </w:r>
      <w:r w:rsidRPr="00C8172F">
        <w:rPr>
          <w:b/>
          <w:bCs/>
        </w:rPr>
        <w:t>]</w:t>
      </w:r>
      <w:r w:rsidRPr="00024980">
        <w:t xml:space="preserve"> </w:t>
      </w:r>
      <w:r w:rsidRPr="00C8172F">
        <w:rPr>
          <w:b/>
          <w:bCs/>
        </w:rPr>
        <w:t xml:space="preserve">penetrated or had union with the [anus] </w:t>
      </w:r>
      <w:r w:rsidR="00175E1A" w:rsidRPr="00C8172F">
        <w:rPr>
          <w:b/>
          <w:bCs/>
        </w:rPr>
        <w:t>[female genitals</w:t>
      </w:r>
      <w:r w:rsidR="00191AF2">
        <w:rPr>
          <w:b/>
          <w:bCs/>
        </w:rPr>
        <w:t>**</w:t>
      </w:r>
      <w:r w:rsidR="00175E1A" w:rsidRPr="00C8172F">
        <w:rPr>
          <w:b/>
          <w:bCs/>
        </w:rPr>
        <w:t xml:space="preserve">] </w:t>
      </w:r>
      <w:r w:rsidRPr="00C8172F">
        <w:rPr>
          <w:b/>
          <w:bCs/>
        </w:rPr>
        <w:t>[mouth] of the [</w:t>
      </w:r>
      <w:r w:rsidRPr="00024980">
        <w:t>(victim</w:t>
      </w:r>
      <w:r w:rsidRPr="00C8172F">
        <w:rPr>
          <w:b/>
          <w:bCs/>
        </w:rPr>
        <w:t>)] [</w:t>
      </w:r>
      <w:r w:rsidRPr="00024980">
        <w:t>(defendant)</w:t>
      </w:r>
      <w:proofErr w:type="gramStart"/>
      <w:r w:rsidRPr="00C8172F">
        <w:rPr>
          <w:b/>
          <w:bCs/>
        </w:rPr>
        <w:t>];</w:t>
      </w:r>
      <w:proofErr w:type="gramEnd"/>
    </w:p>
    <w:p w14:paraId="3FF81850" w14:textId="77777777" w:rsidR="006A61CF" w:rsidRPr="00024980" w:rsidRDefault="006A61CF" w:rsidP="00C8172F">
      <w:pPr>
        <w:ind w:left="900"/>
      </w:pPr>
      <w:r w:rsidRPr="00024980">
        <w:t>or</w:t>
      </w:r>
    </w:p>
    <w:p w14:paraId="2BC98E3B" w14:textId="1A4D323B" w:rsidR="006A61CF" w:rsidRPr="00024980" w:rsidRDefault="006A61CF" w:rsidP="00C8172F">
      <w:pPr>
        <w:pStyle w:val="ListParagraph"/>
        <w:numPr>
          <w:ilvl w:val="0"/>
          <w:numId w:val="6"/>
        </w:numPr>
        <w:ind w:left="1620"/>
      </w:pPr>
      <w:r w:rsidRPr="00C8172F">
        <w:rPr>
          <w:b/>
          <w:bCs/>
        </w:rPr>
        <w:t>the [anus]</w:t>
      </w:r>
      <w:r w:rsidR="00175E1A" w:rsidRPr="00C8172F">
        <w:rPr>
          <w:b/>
          <w:bCs/>
        </w:rPr>
        <w:t xml:space="preserve"> [female genitals</w:t>
      </w:r>
      <w:r w:rsidR="00191AF2">
        <w:rPr>
          <w:b/>
          <w:bCs/>
        </w:rPr>
        <w:t>**</w:t>
      </w:r>
      <w:r w:rsidR="00175E1A" w:rsidRPr="00C8172F">
        <w:rPr>
          <w:b/>
          <w:bCs/>
        </w:rPr>
        <w:t xml:space="preserve">] </w:t>
      </w:r>
      <w:r w:rsidRPr="00C8172F">
        <w:rPr>
          <w:b/>
          <w:bCs/>
        </w:rPr>
        <w:t>of [</w:t>
      </w:r>
      <w:r w:rsidRPr="00024980">
        <w:t>(victim)</w:t>
      </w:r>
      <w:r w:rsidRPr="00C8172F">
        <w:rPr>
          <w:b/>
          <w:bCs/>
        </w:rPr>
        <w:t>]</w:t>
      </w:r>
      <w:r w:rsidRPr="00024980">
        <w:t xml:space="preserve"> </w:t>
      </w:r>
      <w:r w:rsidRPr="00C8172F">
        <w:rPr>
          <w:b/>
          <w:bCs/>
        </w:rPr>
        <w:t>[</w:t>
      </w:r>
      <w:r w:rsidRPr="00024980">
        <w:t>(defendant)</w:t>
      </w:r>
      <w:r w:rsidRPr="00C8172F">
        <w:rPr>
          <w:b/>
          <w:bCs/>
        </w:rPr>
        <w:t>]</w:t>
      </w:r>
      <w:r w:rsidRPr="00024980">
        <w:t xml:space="preserve"> </w:t>
      </w:r>
      <w:r w:rsidR="000C0AE2" w:rsidRPr="00C8172F">
        <w:rPr>
          <w:b/>
          <w:bCs/>
        </w:rPr>
        <w:t>[</w:t>
      </w:r>
      <w:r w:rsidRPr="00C8172F">
        <w:rPr>
          <w:b/>
          <w:bCs/>
        </w:rPr>
        <w:t>was</w:t>
      </w:r>
      <w:r w:rsidR="000C0AE2" w:rsidRPr="00C8172F">
        <w:rPr>
          <w:b/>
          <w:bCs/>
        </w:rPr>
        <w:t>] [were]</w:t>
      </w:r>
      <w:r w:rsidRPr="00C8172F">
        <w:rPr>
          <w:b/>
          <w:bCs/>
        </w:rPr>
        <w:t xml:space="preserve"> penetrated by an object.</w:t>
      </w:r>
      <w:r w:rsidR="00F13997" w:rsidRPr="00C8172F">
        <w:rPr>
          <w:b/>
          <w:bCs/>
        </w:rPr>
        <w:t xml:space="preserve"> </w:t>
      </w:r>
    </w:p>
    <w:p w14:paraId="6E6226C0" w14:textId="77777777" w:rsidR="000C0AE2" w:rsidRPr="0066077B" w:rsidRDefault="000C0AE2" w:rsidP="000C0AE2">
      <w:pPr>
        <w:pStyle w:val="SJITextItalic"/>
      </w:pPr>
      <w:r w:rsidRPr="0066077B">
        <w:t>Give if applicable. § 794.011(1), Fla. Stat.</w:t>
      </w:r>
    </w:p>
    <w:p w14:paraId="4675923B" w14:textId="77777777" w:rsidR="000C0AE2" w:rsidRPr="0066077B" w:rsidRDefault="000C0AE2" w:rsidP="000C0AE2">
      <w:pPr>
        <w:tabs>
          <w:tab w:val="left" w:pos="720"/>
        </w:tabs>
        <w:suppressAutoHyphens/>
        <w:rPr>
          <w:b/>
          <w:bCs/>
        </w:rPr>
      </w:pPr>
      <w:r w:rsidRPr="0066077B">
        <w:rPr>
          <w:b/>
          <w:bCs/>
        </w:rPr>
        <w:t xml:space="preserve">However, any act done </w:t>
      </w:r>
      <w:r w:rsidRPr="000C0AE2">
        <w:rPr>
          <w:b/>
          <w:bCs/>
        </w:rPr>
        <w:t>for bona fide medical</w:t>
      </w:r>
      <w:r w:rsidRPr="0066077B">
        <w:rPr>
          <w:b/>
          <w:bCs/>
        </w:rPr>
        <w:t xml:space="preserve"> purposes is not a </w:t>
      </w:r>
      <w:r>
        <w:rPr>
          <w:b/>
          <w:bCs/>
        </w:rPr>
        <w:t>S</w:t>
      </w:r>
      <w:r w:rsidRPr="0066077B">
        <w:rPr>
          <w:b/>
          <w:bCs/>
        </w:rPr>
        <w:t xml:space="preserve">exual </w:t>
      </w:r>
      <w:r>
        <w:rPr>
          <w:b/>
          <w:bCs/>
        </w:rPr>
        <w:t>B</w:t>
      </w:r>
      <w:r w:rsidRPr="0066077B">
        <w:rPr>
          <w:b/>
          <w:bCs/>
        </w:rPr>
        <w:t>attery.</w:t>
      </w:r>
    </w:p>
    <w:p w14:paraId="2777AC4A" w14:textId="77777777" w:rsidR="000C0AE2" w:rsidRPr="0066077B" w:rsidRDefault="000C0AE2" w:rsidP="000C0AE2">
      <w:pPr>
        <w:pStyle w:val="SJITextItalic"/>
      </w:pPr>
      <w:r w:rsidRPr="0066077B">
        <w:t>§ 794.021, Fla. Stat.</w:t>
      </w:r>
    </w:p>
    <w:p w14:paraId="351957F8" w14:textId="77777777" w:rsidR="000C0AE2" w:rsidRPr="000C0AE2" w:rsidRDefault="000C0AE2" w:rsidP="000C0AE2">
      <w:pPr>
        <w:tabs>
          <w:tab w:val="left" w:pos="-1440"/>
        </w:tabs>
        <w:rPr>
          <w:b/>
        </w:rPr>
      </w:pPr>
      <w:r w:rsidRPr="0066077B">
        <w:rPr>
          <w:b/>
        </w:rPr>
        <w:t xml:space="preserve">Ignorance of </w:t>
      </w:r>
      <w:r w:rsidRPr="0066077B">
        <w:t>(victim’s)</w:t>
      </w:r>
      <w:r w:rsidRPr="0066077B">
        <w:rPr>
          <w:b/>
        </w:rPr>
        <w:t xml:space="preserve"> age, </w:t>
      </w:r>
      <w:r w:rsidRPr="0066077B">
        <w:t xml:space="preserve">(victim’s) </w:t>
      </w:r>
      <w:r w:rsidRPr="0066077B">
        <w:rPr>
          <w:b/>
        </w:rPr>
        <w:t xml:space="preserve">misrepresentation of his or her age, or </w:t>
      </w:r>
      <w:r>
        <w:rPr>
          <w:b/>
        </w:rPr>
        <w:t>the</w:t>
      </w:r>
      <w:r w:rsidRPr="0066077B">
        <w:rPr>
          <w:b/>
        </w:rPr>
        <w:t xml:space="preserve"> </w:t>
      </w:r>
      <w:r w:rsidRPr="000C0AE2">
        <w:rPr>
          <w:b/>
        </w:rPr>
        <w:t xml:space="preserve">defendant’s bona fide belief of </w:t>
      </w:r>
      <w:r w:rsidRPr="000C0AE2">
        <w:t xml:space="preserve">(victim’s) </w:t>
      </w:r>
      <w:r w:rsidRPr="000C0AE2">
        <w:rPr>
          <w:b/>
        </w:rPr>
        <w:t>age is not a defense to the crime charged.</w:t>
      </w:r>
    </w:p>
    <w:p w14:paraId="28508AB4" w14:textId="77777777" w:rsidR="000C0AE2" w:rsidRPr="000C0AE2" w:rsidRDefault="000C0AE2" w:rsidP="000C0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rPr>
      </w:pPr>
      <w:r w:rsidRPr="000C0AE2">
        <w:rPr>
          <w:bCs/>
          <w:i/>
        </w:rPr>
        <w:t xml:space="preserve">Give if applicable. </w:t>
      </w:r>
    </w:p>
    <w:p w14:paraId="34E5EB6A" w14:textId="77777777" w:rsidR="000C0AE2" w:rsidRPr="000C0AE2" w:rsidRDefault="000C0AE2" w:rsidP="000C0AE2">
      <w:pPr>
        <w:tabs>
          <w:tab w:val="left" w:pos="720"/>
        </w:tabs>
        <w:suppressAutoHyphens/>
        <w:rPr>
          <w:b/>
          <w:bCs/>
          <w:i/>
        </w:rPr>
      </w:pPr>
      <w:r w:rsidRPr="000C0AE2">
        <w:rPr>
          <w:b/>
          <w:bCs/>
        </w:rPr>
        <w:t>“Bona fide” means genuine.</w:t>
      </w:r>
    </w:p>
    <w:p w14:paraId="73851B0B" w14:textId="77777777" w:rsidR="006A61CF" w:rsidRPr="000C0AE2" w:rsidRDefault="006A61CF" w:rsidP="006A61CF">
      <w:pPr>
        <w:tabs>
          <w:tab w:val="left" w:pos="720"/>
        </w:tabs>
        <w:suppressAutoHyphens/>
        <w:rPr>
          <w:b/>
          <w:bCs/>
        </w:rPr>
      </w:pPr>
      <w:r w:rsidRPr="000C0AE2">
        <w:rPr>
          <w:b/>
          <w:bCs/>
        </w:rPr>
        <w:t xml:space="preserve">It is not necessary that a </w:t>
      </w:r>
      <w:r w:rsidR="000C0AE2" w:rsidRPr="000C0AE2">
        <w:rPr>
          <w:b/>
          <w:bCs/>
        </w:rPr>
        <w:t>S</w:t>
      </w:r>
      <w:r w:rsidRPr="000C0AE2">
        <w:rPr>
          <w:b/>
          <w:bCs/>
        </w:rPr>
        <w:t xml:space="preserve">exual </w:t>
      </w:r>
      <w:r w:rsidR="000C0AE2" w:rsidRPr="000C0AE2">
        <w:rPr>
          <w:b/>
          <w:bCs/>
        </w:rPr>
        <w:t>B</w:t>
      </w:r>
      <w:r w:rsidRPr="000C0AE2">
        <w:rPr>
          <w:b/>
          <w:bCs/>
        </w:rPr>
        <w:t xml:space="preserve">attery </w:t>
      </w:r>
      <w:proofErr w:type="gramStart"/>
      <w:r w:rsidRPr="000C0AE2">
        <w:rPr>
          <w:b/>
          <w:bCs/>
        </w:rPr>
        <w:t>actually take</w:t>
      </w:r>
      <w:proofErr w:type="gramEnd"/>
      <w:r w:rsidRPr="000C0AE2">
        <w:rPr>
          <w:b/>
          <w:bCs/>
        </w:rPr>
        <w:t xml:space="preserve"> place for the crime of Solicitation to be completed.</w:t>
      </w:r>
    </w:p>
    <w:p w14:paraId="546B7785" w14:textId="77777777" w:rsidR="006A61CF" w:rsidRPr="000C0AE2" w:rsidRDefault="006A61CF" w:rsidP="006A61CF">
      <w:pPr>
        <w:pStyle w:val="SJITextItalic"/>
      </w:pPr>
      <w:r w:rsidRPr="000C0AE2">
        <w:t>§ 794.011(8), Fla. Stat.</w:t>
      </w:r>
    </w:p>
    <w:p w14:paraId="39D51357" w14:textId="77777777" w:rsidR="006A61CF" w:rsidRDefault="006A61CF" w:rsidP="006A61CF">
      <w:pPr>
        <w:tabs>
          <w:tab w:val="left" w:pos="720"/>
        </w:tabs>
        <w:suppressAutoHyphens/>
        <w:rPr>
          <w:b/>
          <w:bCs/>
        </w:rPr>
      </w:pPr>
      <w:r w:rsidRPr="000C0AE2">
        <w:rPr>
          <w:b/>
          <w:bCs/>
        </w:rPr>
        <w:t>It is not a defense that</w:t>
      </w:r>
      <w:r w:rsidRPr="000C0AE2">
        <w:t xml:space="preserve"> (victim)</w:t>
      </w:r>
      <w:r w:rsidRPr="000C0AE2">
        <w:rPr>
          <w:b/>
          <w:bCs/>
        </w:rPr>
        <w:t xml:space="preserve"> was willing </w:t>
      </w:r>
      <w:r w:rsidR="00E805BD" w:rsidRPr="000C0AE2">
        <w:rPr>
          <w:b/>
          <w:bCs/>
        </w:rPr>
        <w:t xml:space="preserve">or consented </w:t>
      </w:r>
      <w:r w:rsidRPr="000C0AE2">
        <w:rPr>
          <w:b/>
          <w:bCs/>
        </w:rPr>
        <w:t xml:space="preserve">to engage in an act </w:t>
      </w:r>
      <w:r w:rsidR="00E805BD" w:rsidRPr="000C0AE2">
        <w:rPr>
          <w:b/>
          <w:bCs/>
        </w:rPr>
        <w:t xml:space="preserve">that </w:t>
      </w:r>
      <w:r w:rsidRPr="000C0AE2">
        <w:rPr>
          <w:b/>
          <w:bCs/>
        </w:rPr>
        <w:t xml:space="preserve">constitutes </w:t>
      </w:r>
      <w:r w:rsidR="000C0AE2" w:rsidRPr="000C0AE2">
        <w:rPr>
          <w:b/>
          <w:bCs/>
        </w:rPr>
        <w:t>S</w:t>
      </w:r>
      <w:r w:rsidRPr="000C0AE2">
        <w:rPr>
          <w:b/>
          <w:bCs/>
        </w:rPr>
        <w:t xml:space="preserve">exual </w:t>
      </w:r>
      <w:r w:rsidR="000C0AE2" w:rsidRPr="000C0AE2">
        <w:rPr>
          <w:b/>
          <w:bCs/>
        </w:rPr>
        <w:t>B</w:t>
      </w:r>
      <w:r w:rsidRPr="000C0AE2">
        <w:rPr>
          <w:b/>
          <w:bCs/>
        </w:rPr>
        <w:t>attery.</w:t>
      </w:r>
    </w:p>
    <w:p w14:paraId="3E53CB45" w14:textId="77777777" w:rsidR="000C0AE2" w:rsidRPr="0066077B" w:rsidRDefault="000C0AE2" w:rsidP="000C0AE2">
      <w:pPr>
        <w:pStyle w:val="SJITextItalic"/>
      </w:pPr>
      <w:r w:rsidRPr="0066077B">
        <w:t>Give if requested. § 794.022, Fla. Stat.</w:t>
      </w:r>
    </w:p>
    <w:p w14:paraId="2FA9E7AA" w14:textId="77777777" w:rsidR="000C0AE2" w:rsidRPr="0066077B" w:rsidRDefault="000C0AE2" w:rsidP="000C0AE2">
      <w:pPr>
        <w:tabs>
          <w:tab w:val="left" w:pos="-1440"/>
        </w:tabs>
        <w:rPr>
          <w:b/>
        </w:rPr>
      </w:pPr>
      <w:r w:rsidRPr="0066077B">
        <w:t xml:space="preserve">(Victim’s) </w:t>
      </w:r>
      <w:r w:rsidRPr="0066077B">
        <w:rPr>
          <w:b/>
        </w:rPr>
        <w:t>lack of chastity is not a defense to the crime charged.</w:t>
      </w:r>
    </w:p>
    <w:p w14:paraId="2429372E" w14:textId="77777777" w:rsidR="006A61CF" w:rsidRPr="0066077B" w:rsidRDefault="006A61CF" w:rsidP="006A61CF">
      <w:pPr>
        <w:pStyle w:val="SJITextItalic"/>
      </w:pPr>
      <w:r w:rsidRPr="0066077B">
        <w:lastRenderedPageBreak/>
        <w:t>§ 777.04(2), Fla. Stat.</w:t>
      </w:r>
    </w:p>
    <w:p w14:paraId="5C36B20E" w14:textId="77777777" w:rsidR="006A61CF" w:rsidRPr="0066077B" w:rsidRDefault="006A61CF" w:rsidP="006A61CF">
      <w:pPr>
        <w:tabs>
          <w:tab w:val="left" w:pos="720"/>
        </w:tabs>
        <w:suppressAutoHyphens/>
        <w:rPr>
          <w:b/>
          <w:iCs/>
        </w:rPr>
      </w:pPr>
      <w:r w:rsidRPr="0066077B">
        <w:rPr>
          <w:b/>
          <w:iCs/>
        </w:rPr>
        <w:t>To “solicit” means to command, encourage, hire, or request another person to engage in specific conduct.</w:t>
      </w:r>
    </w:p>
    <w:p w14:paraId="3959B4D4" w14:textId="77777777" w:rsidR="006A61CF" w:rsidRPr="000C0AE2" w:rsidRDefault="006A61CF" w:rsidP="006A61CF">
      <w:pPr>
        <w:pStyle w:val="SJITextItalic"/>
      </w:pPr>
      <w:proofErr w:type="spellStart"/>
      <w:r w:rsidRPr="000C0AE2">
        <w:t>Lakey</w:t>
      </w:r>
      <w:proofErr w:type="spellEnd"/>
      <w:r w:rsidRPr="000C0AE2">
        <w:t xml:space="preserve"> v. State, 113 So. 3d 90 (Fla. 5th DCA 2013).</w:t>
      </w:r>
    </w:p>
    <w:p w14:paraId="417AF884" w14:textId="77777777" w:rsidR="006A61CF" w:rsidRPr="0066077B" w:rsidRDefault="006A61CF" w:rsidP="006A6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r w:rsidRPr="000C0AE2">
        <w:rPr>
          <w:b/>
          <w:iCs/>
        </w:rPr>
        <w:t>“An object” includes a finger.</w:t>
      </w:r>
      <w:r w:rsidRPr="0066077B">
        <w:rPr>
          <w:b/>
          <w:iCs/>
        </w:rPr>
        <w:t xml:space="preserve"> </w:t>
      </w:r>
    </w:p>
    <w:p w14:paraId="259CAF14" w14:textId="77777777" w:rsidR="000C0AE2" w:rsidRPr="000C0AE2" w:rsidRDefault="000C0AE2" w:rsidP="000C0AE2">
      <w:pPr>
        <w:tabs>
          <w:tab w:val="left" w:pos="720"/>
        </w:tabs>
        <w:suppressAutoHyphens/>
        <w:spacing w:after="0"/>
        <w:rPr>
          <w:i/>
          <w:iCs/>
        </w:rPr>
      </w:pPr>
      <w:r w:rsidRPr="000C0AE2">
        <w:rPr>
          <w:i/>
          <w:iCs/>
        </w:rPr>
        <w:t>Phillips v. State, 238 So. 3d 308 (Fla. 4th DCA 2018).</w:t>
      </w:r>
    </w:p>
    <w:p w14:paraId="06F564EA" w14:textId="77777777" w:rsidR="006A61CF" w:rsidRDefault="006A61CF" w:rsidP="006A61CF">
      <w:pPr>
        <w:tabs>
          <w:tab w:val="left" w:pos="720"/>
        </w:tabs>
        <w:suppressAutoHyphens/>
        <w:rPr>
          <w:b/>
          <w:bCs/>
        </w:rPr>
      </w:pPr>
      <w:r w:rsidRPr="0066077B">
        <w:rPr>
          <w:b/>
          <w:bCs/>
        </w:rPr>
        <w:t>“Union” means contact.</w:t>
      </w:r>
    </w:p>
    <w:p w14:paraId="0F2D25E6" w14:textId="77777777" w:rsidR="00175E1A" w:rsidRPr="00F738D3" w:rsidRDefault="00175E1A" w:rsidP="00F738D3">
      <w:pPr>
        <w:pStyle w:val="SJITextItalic"/>
        <w:rPr>
          <w:b/>
          <w:bCs/>
        </w:rPr>
      </w:pPr>
      <w:r w:rsidRPr="000C0AE2">
        <w:t>Give if applicable.</w:t>
      </w:r>
      <w:r w:rsidR="00F738D3">
        <w:rPr>
          <w:b/>
          <w:bCs/>
        </w:rPr>
        <w:t xml:space="preserve"> </w:t>
      </w:r>
      <w:r w:rsidRPr="000C0AE2">
        <w:t>§ 794.011(1)(b), Fla. Stat.</w:t>
      </w:r>
    </w:p>
    <w:p w14:paraId="5213A792" w14:textId="18415218" w:rsidR="006A61CF" w:rsidRPr="00A36AB4" w:rsidRDefault="00175E1A" w:rsidP="00A36AB4">
      <w:pPr>
        <w:rPr>
          <w:b/>
          <w:bCs/>
          <w:i/>
          <w:szCs w:val="24"/>
        </w:rPr>
      </w:pPr>
      <w:r w:rsidRPr="00A36AB4">
        <w:rPr>
          <w:b/>
          <w:bCs/>
        </w:rPr>
        <w:t>“Female genitals</w:t>
      </w:r>
      <w:r w:rsidR="00191AF2">
        <w:rPr>
          <w:b/>
          <w:bCs/>
        </w:rPr>
        <w:t>**</w:t>
      </w:r>
      <w:r w:rsidRPr="00A36AB4">
        <w:rPr>
          <w:b/>
          <w:bCs/>
        </w:rPr>
        <w:t>” includes the labia minora, labia majora, clitoris,</w:t>
      </w:r>
      <w:r w:rsidR="00E805BD" w:rsidRPr="00A36AB4">
        <w:rPr>
          <w:b/>
          <w:bCs/>
        </w:rPr>
        <w:t xml:space="preserve"> </w:t>
      </w:r>
      <w:r w:rsidRPr="00A36AB4">
        <w:rPr>
          <w:b/>
          <w:bCs/>
        </w:rPr>
        <w:t>vulva, hymen, and vagina.</w:t>
      </w:r>
    </w:p>
    <w:p w14:paraId="57105CA9" w14:textId="77777777" w:rsidR="006A61CF" w:rsidRPr="0066077B" w:rsidRDefault="006A61CF" w:rsidP="006A61CF">
      <w:pPr>
        <w:pStyle w:val="SJITextItalic"/>
      </w:pPr>
      <w:r w:rsidRPr="0066077B">
        <w:t xml:space="preserve">§ 775.0862, Fla. Stat. </w:t>
      </w:r>
    </w:p>
    <w:p w14:paraId="29BFAA52" w14:textId="77777777" w:rsidR="006A61CF" w:rsidRPr="0066077B" w:rsidRDefault="006A61CF" w:rsidP="006A61CF">
      <w:pPr>
        <w:pStyle w:val="SJITextItalic"/>
      </w:pPr>
      <w:r w:rsidRPr="0066077B">
        <w:t>Enhancement for sexual offense against student by school authority figure.</w:t>
      </w:r>
    </w:p>
    <w:p w14:paraId="38F5C6FC" w14:textId="77777777" w:rsidR="006A61CF" w:rsidRPr="0066077B" w:rsidRDefault="006A61CF" w:rsidP="006A61CF">
      <w:pPr>
        <w:tabs>
          <w:tab w:val="left" w:pos="-1440"/>
        </w:tabs>
        <w:rPr>
          <w:b/>
        </w:rPr>
      </w:pPr>
      <w:r w:rsidRPr="0066077B">
        <w:rPr>
          <w:b/>
        </w:rPr>
        <w:t xml:space="preserve">If you find that </w:t>
      </w:r>
      <w:r w:rsidRPr="0066077B">
        <w:t xml:space="preserve">(defendant) </w:t>
      </w:r>
      <w:r w:rsidRPr="0066077B">
        <w:rPr>
          <w:b/>
        </w:rPr>
        <w:t xml:space="preserve">committed the crime of </w:t>
      </w:r>
      <w:r w:rsidRPr="0066077B">
        <w:rPr>
          <w:b/>
          <w:bCs/>
        </w:rPr>
        <w:t>Solicitation of a Child to Engage in an Act that Constitutes Sexual Battery by a Person in Familial or Custodial Authority</w:t>
      </w:r>
      <w:r w:rsidRPr="0066077B">
        <w:rPr>
          <w:b/>
        </w:rPr>
        <w:t xml:space="preserve">, you must also determine whether the State has proved beyond a reasonable doubt that </w:t>
      </w:r>
      <w:r w:rsidRPr="0066077B">
        <w:t xml:space="preserve">(defendant) </w:t>
      </w:r>
      <w:r w:rsidRPr="0066077B">
        <w:rPr>
          <w:b/>
        </w:rPr>
        <w:t xml:space="preserve">was an authority figure at a school and </w:t>
      </w:r>
      <w:r w:rsidRPr="0066077B">
        <w:t xml:space="preserve">(victim) </w:t>
      </w:r>
      <w:r w:rsidRPr="0066077B">
        <w:rPr>
          <w:b/>
        </w:rPr>
        <w:t>was a student at the same school.</w:t>
      </w:r>
    </w:p>
    <w:p w14:paraId="47DF780E" w14:textId="77777777" w:rsidR="006A61CF" w:rsidRPr="0066077B" w:rsidRDefault="006A61CF" w:rsidP="006A61CF">
      <w:pPr>
        <w:tabs>
          <w:tab w:val="left" w:pos="-1440"/>
        </w:tabs>
        <w:rPr>
          <w:b/>
        </w:rPr>
      </w:pPr>
      <w:r w:rsidRPr="0066077B">
        <w:rPr>
          <w:b/>
        </w:rPr>
        <w:t>“Authority figure” means a person 18 years of age or older who is employed by, volunteering at, or under contract with a school.</w:t>
      </w:r>
    </w:p>
    <w:p w14:paraId="630D8800" w14:textId="10468A5A" w:rsidR="006A61CF" w:rsidRPr="0066077B" w:rsidRDefault="006A61CF" w:rsidP="006A61CF">
      <w:pPr>
        <w:rPr>
          <w:i/>
          <w:iCs/>
        </w:rPr>
      </w:pPr>
      <w:r w:rsidRPr="681C0A06">
        <w:rPr>
          <w:b/>
          <w:bCs/>
        </w:rPr>
        <w:t xml:space="preserve">“School” means an organization of students for instructional purposes on an elementary, middle or junior high school, secondary or high school, [or other </w:t>
      </w:r>
      <w:proofErr w:type="gramStart"/>
      <w:r w:rsidRPr="681C0A06">
        <w:rPr>
          <w:b/>
          <w:bCs/>
        </w:rPr>
        <w:t>public school</w:t>
      </w:r>
      <w:proofErr w:type="gramEnd"/>
      <w:r w:rsidRPr="681C0A06">
        <w:rPr>
          <w:b/>
          <w:bCs/>
        </w:rPr>
        <w:t xml:space="preserve"> level authorized under the rules of the State Board of Education]. The term “school” does not include facilities dedicated exclusively to the education of adults.</w:t>
      </w:r>
      <w:r w:rsidR="00F13997">
        <w:rPr>
          <w:b/>
          <w:bCs/>
        </w:rPr>
        <w:t xml:space="preserve"> </w:t>
      </w:r>
      <w:r w:rsidRPr="681C0A06">
        <w:rPr>
          <w:i/>
          <w:iCs/>
        </w:rPr>
        <w:t>If needed, insert appropriate definitions from § 775.0862(1)(b), Fla. Stat., for “private school” or “voluntary prekindergarten education program” or “early learning program” or “public school as described in § 402.3025(1)” or “the Florida School for the Deaf and the Blind” or the “Florida Virtual School” or the “K-8 Virtual School.”</w:t>
      </w:r>
    </w:p>
    <w:p w14:paraId="19275CD1" w14:textId="285CEF43" w:rsidR="006A61CF" w:rsidRDefault="006A61CF" w:rsidP="006A61CF">
      <w:pPr>
        <w:tabs>
          <w:tab w:val="left" w:pos="-1440"/>
        </w:tabs>
        <w:rPr>
          <w:i/>
        </w:rPr>
      </w:pPr>
      <w:r w:rsidRPr="0066077B">
        <w:rPr>
          <w:b/>
        </w:rPr>
        <w:t>“Student” means a person younger than 18 years of age who is enrolled at a school.</w:t>
      </w:r>
      <w:r w:rsidR="00F13997">
        <w:rPr>
          <w:i/>
        </w:rPr>
        <w:t xml:space="preserve"> </w:t>
      </w:r>
    </w:p>
    <w:p w14:paraId="16207839" w14:textId="77777777" w:rsidR="006A61CF" w:rsidRPr="0066077B" w:rsidRDefault="006A61CF" w:rsidP="006A61CF">
      <w:pPr>
        <w:pStyle w:val="SJIComments"/>
      </w:pPr>
      <w:r w:rsidRPr="0066077B">
        <w:t>Lesser Included Offense</w:t>
      </w:r>
    </w:p>
    <w:p w14:paraId="76B0E251" w14:textId="77777777" w:rsidR="006A61CF" w:rsidRPr="0066077B" w:rsidRDefault="006A61CF" w:rsidP="006A61CF">
      <w:pPr>
        <w:pStyle w:val="Heading4"/>
      </w:pPr>
      <w:bookmarkStart w:id="2" w:name="_Toc109650458"/>
      <w:r w:rsidRPr="0066077B">
        <w:t>SOLICITATION OF A CHILD TO ENGAGE IN AN ACT THAT CONSTITUTES SEXUAL BATTERY BY PERSON IN FAMILIAL OR CUSTODIAL AUTHORITY — 794.011(8)(</w:t>
      </w:r>
      <w:r w:rsidRPr="0066077B">
        <w:rPr>
          <w:caps w:val="0"/>
        </w:rPr>
        <w:t>a</w:t>
      </w:r>
      <w:r w:rsidRPr="0066077B">
        <w:t>)</w:t>
      </w:r>
      <w:bookmarkEnd w:id="2"/>
    </w:p>
    <w:tbl>
      <w:tblPr>
        <w:tblStyle w:val="TableGrid1"/>
        <w:tblW w:w="5000" w:type="pct"/>
        <w:tblLook w:val="0020" w:firstRow="1" w:lastRow="0" w:firstColumn="0" w:lastColumn="0" w:noHBand="0" w:noVBand="0"/>
      </w:tblPr>
      <w:tblGrid>
        <w:gridCol w:w="3234"/>
        <w:gridCol w:w="2749"/>
        <w:gridCol w:w="1964"/>
        <w:gridCol w:w="1403"/>
      </w:tblGrid>
      <w:tr w:rsidR="006A61CF" w:rsidRPr="0066077B" w14:paraId="5E4B8340" w14:textId="77777777" w:rsidTr="00F13997">
        <w:trPr>
          <w:cnfStyle w:val="100000000000" w:firstRow="1" w:lastRow="0" w:firstColumn="0" w:lastColumn="0" w:oddVBand="0" w:evenVBand="0" w:oddHBand="0" w:evenHBand="0" w:firstRowFirstColumn="0" w:firstRowLastColumn="0" w:lastRowFirstColumn="0" w:lastRowLastColumn="0"/>
        </w:trPr>
        <w:tc>
          <w:tcPr>
            <w:tcW w:w="1730" w:type="pct"/>
          </w:tcPr>
          <w:p w14:paraId="7AE745CB" w14:textId="77777777" w:rsidR="006A61CF" w:rsidRPr="005278D8" w:rsidRDefault="006A61CF" w:rsidP="003101E3">
            <w:pPr>
              <w:pStyle w:val="SJITableText"/>
            </w:pPr>
            <w:r w:rsidRPr="005278D8">
              <w:t>CATEGORY ONE</w:t>
            </w:r>
          </w:p>
        </w:tc>
        <w:tc>
          <w:tcPr>
            <w:tcW w:w="1470" w:type="pct"/>
          </w:tcPr>
          <w:p w14:paraId="156D6D11" w14:textId="77777777" w:rsidR="006A61CF" w:rsidRPr="005278D8" w:rsidRDefault="006A61CF" w:rsidP="003101E3">
            <w:pPr>
              <w:pStyle w:val="SJITableText"/>
            </w:pPr>
            <w:r w:rsidRPr="005278D8">
              <w:t>CATEGORY TWO</w:t>
            </w:r>
          </w:p>
        </w:tc>
        <w:tc>
          <w:tcPr>
            <w:tcW w:w="1050" w:type="pct"/>
          </w:tcPr>
          <w:p w14:paraId="21FDE371" w14:textId="77777777" w:rsidR="006A61CF" w:rsidRPr="005278D8" w:rsidRDefault="006A61CF" w:rsidP="003101E3">
            <w:pPr>
              <w:pStyle w:val="SJITableText"/>
            </w:pPr>
            <w:r w:rsidRPr="005278D8">
              <w:t>FLA. STAT.</w:t>
            </w:r>
          </w:p>
        </w:tc>
        <w:tc>
          <w:tcPr>
            <w:tcW w:w="750" w:type="pct"/>
          </w:tcPr>
          <w:p w14:paraId="240B3DB8" w14:textId="77777777" w:rsidR="006A61CF" w:rsidRPr="005278D8" w:rsidRDefault="006A61CF" w:rsidP="003101E3">
            <w:pPr>
              <w:pStyle w:val="SJITableText"/>
            </w:pPr>
            <w:r w:rsidRPr="005278D8">
              <w:t>INS. NO.</w:t>
            </w:r>
          </w:p>
        </w:tc>
      </w:tr>
      <w:tr w:rsidR="006A61CF" w:rsidRPr="0066077B" w14:paraId="44EFC108" w14:textId="77777777" w:rsidTr="00F13997">
        <w:tc>
          <w:tcPr>
            <w:tcW w:w="1730" w:type="pct"/>
          </w:tcPr>
          <w:p w14:paraId="11F70C10" w14:textId="77777777" w:rsidR="006A61CF" w:rsidRPr="0066077B" w:rsidRDefault="006A61CF" w:rsidP="003101E3">
            <w:pPr>
              <w:pStyle w:val="SJITableText"/>
            </w:pPr>
            <w:r w:rsidRPr="0066077B">
              <w:t xml:space="preserve">Lewd or lascivious battery* </w:t>
            </w:r>
          </w:p>
        </w:tc>
        <w:tc>
          <w:tcPr>
            <w:tcW w:w="1470" w:type="pct"/>
          </w:tcPr>
          <w:p w14:paraId="4D96852C" w14:textId="77777777" w:rsidR="006A61CF" w:rsidRPr="0066077B" w:rsidRDefault="006A61CF" w:rsidP="003101E3">
            <w:pPr>
              <w:pStyle w:val="SJITableText"/>
            </w:pPr>
          </w:p>
        </w:tc>
        <w:tc>
          <w:tcPr>
            <w:tcW w:w="1050" w:type="pct"/>
          </w:tcPr>
          <w:p w14:paraId="227FCE24" w14:textId="77777777" w:rsidR="006A61CF" w:rsidRPr="0066077B" w:rsidRDefault="006A61CF" w:rsidP="003101E3">
            <w:pPr>
              <w:pStyle w:val="SJITableText"/>
            </w:pPr>
            <w:r w:rsidRPr="0066077B">
              <w:t>800.04(4)(a)</w:t>
            </w:r>
            <w:proofErr w:type="gramStart"/>
            <w:r w:rsidRPr="0066077B">
              <w:t>2.*</w:t>
            </w:r>
            <w:proofErr w:type="gramEnd"/>
          </w:p>
        </w:tc>
        <w:tc>
          <w:tcPr>
            <w:tcW w:w="750" w:type="pct"/>
          </w:tcPr>
          <w:p w14:paraId="1C13F6CC" w14:textId="77777777" w:rsidR="006A61CF" w:rsidRPr="0066077B" w:rsidRDefault="006A61CF" w:rsidP="003101E3">
            <w:pPr>
              <w:pStyle w:val="SJITableText"/>
            </w:pPr>
            <w:r w:rsidRPr="0066077B">
              <w:t>11.10(b)*</w:t>
            </w:r>
          </w:p>
        </w:tc>
      </w:tr>
      <w:tr w:rsidR="00FD21C8" w:rsidRPr="0066077B" w14:paraId="3159A16E" w14:textId="77777777" w:rsidTr="00F13997">
        <w:tc>
          <w:tcPr>
            <w:tcW w:w="1730" w:type="pct"/>
          </w:tcPr>
          <w:p w14:paraId="78308951" w14:textId="77777777" w:rsidR="00FD21C8" w:rsidRPr="0066077B" w:rsidRDefault="00FD21C8" w:rsidP="003101E3">
            <w:pPr>
              <w:pStyle w:val="SJITableText"/>
            </w:pPr>
          </w:p>
        </w:tc>
        <w:tc>
          <w:tcPr>
            <w:tcW w:w="1470" w:type="pct"/>
          </w:tcPr>
          <w:p w14:paraId="7910EBEC" w14:textId="1253723D" w:rsidR="00FD21C8" w:rsidRPr="00A25FAE" w:rsidRDefault="0016704A" w:rsidP="003101E3">
            <w:pPr>
              <w:pStyle w:val="SJITableText"/>
            </w:pPr>
            <w:r>
              <w:t xml:space="preserve">Written </w:t>
            </w:r>
            <w:r w:rsidR="00FD21C8" w:rsidRPr="00A25FAE">
              <w:t xml:space="preserve">Solicitation of Certain Minors to Commit a Lewd or Lascivious Act </w:t>
            </w:r>
          </w:p>
        </w:tc>
        <w:tc>
          <w:tcPr>
            <w:tcW w:w="1050" w:type="pct"/>
          </w:tcPr>
          <w:p w14:paraId="1937B48C" w14:textId="79F38880" w:rsidR="00FD21C8" w:rsidRPr="00A25FAE" w:rsidRDefault="00FD21C8" w:rsidP="003101E3">
            <w:pPr>
              <w:pStyle w:val="SJITableText"/>
            </w:pPr>
            <w:r w:rsidRPr="00A25FAE">
              <w:t>794.053</w:t>
            </w:r>
          </w:p>
        </w:tc>
        <w:tc>
          <w:tcPr>
            <w:tcW w:w="750" w:type="pct"/>
          </w:tcPr>
          <w:p w14:paraId="0916236C" w14:textId="52B314D1" w:rsidR="00FD21C8" w:rsidRPr="0066077B" w:rsidRDefault="00FD21C8" w:rsidP="003101E3">
            <w:pPr>
              <w:pStyle w:val="SJITableText"/>
            </w:pPr>
            <w:r>
              <w:t>11.7(b)</w:t>
            </w:r>
          </w:p>
        </w:tc>
      </w:tr>
    </w:tbl>
    <w:p w14:paraId="26C44AAE" w14:textId="77777777" w:rsidR="006A61CF" w:rsidRPr="0066077B" w:rsidRDefault="006A61CF" w:rsidP="006A61CF">
      <w:pPr>
        <w:pStyle w:val="SJIComments"/>
      </w:pPr>
      <w:r w:rsidRPr="0066077B">
        <w:lastRenderedPageBreak/>
        <w:t>Comments</w:t>
      </w:r>
    </w:p>
    <w:p w14:paraId="5371BD37" w14:textId="77777777" w:rsidR="006A61CF" w:rsidRDefault="006A61CF" w:rsidP="006A61CF">
      <w:r w:rsidRPr="0066077B">
        <w:t>*When instructing on the lesser-included offense of Lewd or Lascivious Battery, the judge should not instruct on the option of forcing a person to engage in any sexual act nor should the judge instruct about the acts of sadomasochistic abuse, sexual bestiality, or prostitution unless charged. More specifically, if the state’s charging document tracks § 794.011(8)(a), Fla. Stat., the only part of Lewd or Lascivious Battery that is a necessary lesser-included offense is “encouraging or enticing a person less than 16 years old to engage in sexual activity.”</w:t>
      </w:r>
    </w:p>
    <w:p w14:paraId="2DEDD262" w14:textId="77777777" w:rsidR="00191AF2" w:rsidRPr="00AE291D" w:rsidRDefault="00191AF2" w:rsidP="00191AF2">
      <w:pPr>
        <w:spacing w:line="256" w:lineRule="auto"/>
      </w:pPr>
      <w:r w:rsidRPr="00AE291D">
        <w:t>*</w:t>
      </w:r>
      <w:r>
        <w:t>*</w:t>
      </w:r>
      <w:r w:rsidRPr="00AE291D">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AE291D">
        <w:rPr>
          <w:i/>
          <w:iCs/>
        </w:rPr>
        <w:t xml:space="preserve">Flores v. State, </w:t>
      </w:r>
      <w:r w:rsidRPr="00AE291D">
        <w:t xml:space="preserve">-- So. 3d -- (Fla. 4th DCA 2024) is an example of an appellate court finding fundamental error when the trial judge expanded the definition of “vaginal penetration” by instructing on “female genital penetration.”  </w:t>
      </w:r>
    </w:p>
    <w:p w14:paraId="4D74D62C" w14:textId="77777777" w:rsidR="006A61CF" w:rsidRPr="0066077B" w:rsidRDefault="006A61CF" w:rsidP="006A61CF">
      <w:r w:rsidRPr="0066077B">
        <w:t>See Instruction 11.16 or 11.16(a) if the State charged that the defendant qualified as a Dangerous Sexual Felony Offender, pursuant to § 794.0115, Fla. Stat.</w:t>
      </w:r>
    </w:p>
    <w:p w14:paraId="1649451B" w14:textId="77777777" w:rsidR="006A61CF" w:rsidRDefault="006A61CF" w:rsidP="006A61CF">
      <w:r w:rsidRPr="0066077B">
        <w:t xml:space="preserve">The 2014 legislature added a sentencing multiplier to § 921.0024(1)(b), Fla. Stat., for sexual battery crimes involving a defendant 18 years of age or older and a victim younger than 18 years of age. If the State charges and intends to use this sentencing multiplier, a special instruction will be necessary for the jury to make an additional finding regarding the defendant’s age. </w:t>
      </w:r>
    </w:p>
    <w:p w14:paraId="13ECDE99" w14:textId="5A99F3B5" w:rsidR="002B5B64" w:rsidRDefault="002B5B64" w:rsidP="00E72623">
      <w:r w:rsidRPr="00B769C8">
        <w:t xml:space="preserve">As of </w:t>
      </w:r>
      <w:r w:rsidR="00A25FAE">
        <w:t xml:space="preserve">February </w:t>
      </w:r>
      <w:r w:rsidR="00FD21C8" w:rsidRPr="00A25FAE">
        <w:t>202</w:t>
      </w:r>
      <w:r w:rsidR="00A25FAE" w:rsidRPr="00A25FAE">
        <w:t>4</w:t>
      </w:r>
      <w:r w:rsidRPr="00A25FAE">
        <w:t>, it</w:t>
      </w:r>
      <w:r w:rsidRPr="00B769C8">
        <w:t xml:space="preserve"> was unclear whether acts done for bona fide medical purposes should be treated as an affirmative defense or </w:t>
      </w:r>
      <w:r>
        <w:t>as</w:t>
      </w:r>
      <w:r w:rsidRPr="00B769C8">
        <w:t xml:space="preserve"> an element that the State must disprove. If treated as an affirmative defense, the judge must then determine who has the burden of persuasion and what that burden is (preponderance, clear and convincing, or beyond a reasonable doubt). </w:t>
      </w:r>
    </w:p>
    <w:p w14:paraId="4AA12BC1" w14:textId="1199B32B" w:rsidR="009435D1" w:rsidRDefault="006A61CF">
      <w:r w:rsidRPr="0066077B">
        <w:t>This instruction was adopted in 1987 [508 So. 2d 1221] and was amended in 1995 [657 So. 2d 1152], 1997 [697 So. 2d 84], 2015 [156 So. 3d 1037],</w:t>
      </w:r>
      <w:r w:rsidRPr="002B5B64">
        <w:t xml:space="preserve"> 2016</w:t>
      </w:r>
      <w:r w:rsidR="00E805BD" w:rsidRPr="002B5B64">
        <w:t xml:space="preserve"> </w:t>
      </w:r>
      <w:r w:rsidR="00167AAA" w:rsidRPr="002B5B64">
        <w:t xml:space="preserve">[190 So. 3d 1055], </w:t>
      </w:r>
      <w:r w:rsidR="00E805BD" w:rsidRPr="002B5B64">
        <w:t xml:space="preserve">on </w:t>
      </w:r>
      <w:r w:rsidR="000C0AE2" w:rsidRPr="002B5B64">
        <w:t>December 21, 20</w:t>
      </w:r>
      <w:r w:rsidR="00175E1A" w:rsidRPr="002B5B64">
        <w:t>22</w:t>
      </w:r>
      <w:r w:rsidR="00FD21C8" w:rsidRPr="00A25FAE">
        <w:t xml:space="preserve">, and on </w:t>
      </w:r>
      <w:r w:rsidR="00A25FAE" w:rsidRPr="00A25FAE">
        <w:t xml:space="preserve">March 8, </w:t>
      </w:r>
      <w:r w:rsidR="00FD21C8" w:rsidRPr="00A25FAE">
        <w:t>2024.</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4B66"/>
    <w:multiLevelType w:val="hybridMultilevel"/>
    <w:tmpl w:val="C1404E1A"/>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14030433">
    <w:abstractNumId w:val="3"/>
  </w:num>
  <w:num w:numId="2" w16cid:durableId="1902859735">
    <w:abstractNumId w:val="2"/>
  </w:num>
  <w:num w:numId="3" w16cid:durableId="1331366723">
    <w:abstractNumId w:val="4"/>
  </w:num>
  <w:num w:numId="4" w16cid:durableId="2036728623">
    <w:abstractNumId w:val="1"/>
  </w:num>
  <w:num w:numId="5" w16cid:durableId="841579298">
    <w:abstractNumId w:val="1"/>
  </w:num>
  <w:num w:numId="6" w16cid:durableId="64555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CF"/>
    <w:rsid w:val="00024980"/>
    <w:rsid w:val="000C0AE2"/>
    <w:rsid w:val="001260B2"/>
    <w:rsid w:val="0016704A"/>
    <w:rsid w:val="00167AAA"/>
    <w:rsid w:val="00175E1A"/>
    <w:rsid w:val="00191AF2"/>
    <w:rsid w:val="00274CD5"/>
    <w:rsid w:val="00276059"/>
    <w:rsid w:val="002B5B64"/>
    <w:rsid w:val="003101E3"/>
    <w:rsid w:val="003E05DE"/>
    <w:rsid w:val="005278D8"/>
    <w:rsid w:val="005F680D"/>
    <w:rsid w:val="0066077B"/>
    <w:rsid w:val="006A61CF"/>
    <w:rsid w:val="007349D8"/>
    <w:rsid w:val="007D1EBA"/>
    <w:rsid w:val="007E7CA6"/>
    <w:rsid w:val="009435D1"/>
    <w:rsid w:val="00A25FAE"/>
    <w:rsid w:val="00A36AB4"/>
    <w:rsid w:val="00B769C8"/>
    <w:rsid w:val="00BD078F"/>
    <w:rsid w:val="00C8172F"/>
    <w:rsid w:val="00DE0567"/>
    <w:rsid w:val="00E72623"/>
    <w:rsid w:val="00E805BD"/>
    <w:rsid w:val="00F13997"/>
    <w:rsid w:val="00F738D3"/>
    <w:rsid w:val="00FA0AEE"/>
    <w:rsid w:val="00FD21C8"/>
    <w:rsid w:val="00FF3A9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01BE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CF"/>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A61CF"/>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A61CF"/>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A61CF"/>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A61CF"/>
    <w:pPr>
      <w:outlineLvl w:val="3"/>
    </w:pPr>
  </w:style>
  <w:style w:type="paragraph" w:styleId="Heading5">
    <w:name w:val="heading 5"/>
    <w:basedOn w:val="Normal"/>
    <w:next w:val="Normal"/>
    <w:link w:val="Heading5Char"/>
    <w:uiPriority w:val="9"/>
    <w:qFormat/>
    <w:rsid w:val="006A61CF"/>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A61CF"/>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A61CF"/>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A61CF"/>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A61CF"/>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A61CF"/>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A61CF"/>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A61CF"/>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A61CF"/>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A61CF"/>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A61CF"/>
    <w:rPr>
      <w:rFonts w:ascii="Times New Roman" w:hAnsi="Times New Roman" w:cs="Times New Roman"/>
      <w:b/>
      <w:bCs/>
    </w:rPr>
  </w:style>
  <w:style w:type="character" w:customStyle="1" w:styleId="Heading7Char">
    <w:name w:val="Heading 7 Char"/>
    <w:basedOn w:val="DefaultParagraphFont"/>
    <w:link w:val="Heading7"/>
    <w:uiPriority w:val="9"/>
    <w:locked/>
    <w:rsid w:val="006A61C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A61C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A61CF"/>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6A61CF"/>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A61CF"/>
    <w:pPr>
      <w:tabs>
        <w:tab w:val="left" w:pos="720"/>
      </w:tabs>
      <w:suppressAutoHyphens/>
      <w:spacing w:after="0"/>
    </w:pPr>
    <w:rPr>
      <w:rFonts w:cs="Times New Roman"/>
      <w:i/>
      <w:iCs/>
      <w:szCs w:val="24"/>
    </w:rPr>
  </w:style>
  <w:style w:type="paragraph" w:customStyle="1" w:styleId="SJITableText">
    <w:name w:val="SJI Table Text"/>
    <w:basedOn w:val="Normal"/>
    <w:qFormat/>
    <w:rsid w:val="006A61CF"/>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6A61CF"/>
    <w:pPr>
      <w:spacing w:before="220"/>
      <w:ind w:firstLine="0"/>
      <w:jc w:val="center"/>
    </w:pPr>
    <w:rPr>
      <w:rFonts w:cs="Courier New"/>
      <w:b/>
    </w:rPr>
  </w:style>
  <w:style w:type="paragraph" w:styleId="ListParagraph">
    <w:name w:val="List Paragraph"/>
    <w:basedOn w:val="Normal"/>
    <w:uiPriority w:val="34"/>
    <w:qFormat/>
    <w:rsid w:val="006A61CF"/>
    <w:pPr>
      <w:ind w:left="720"/>
    </w:pPr>
    <w:rPr>
      <w:rFonts w:cs="Times New Roman"/>
    </w:rPr>
  </w:style>
  <w:style w:type="table" w:customStyle="1" w:styleId="TableGrid1">
    <w:name w:val="Table Grid1"/>
    <w:basedOn w:val="TableNormal"/>
    <w:next w:val="TableGrid"/>
    <w:uiPriority w:val="99"/>
    <w:rsid w:val="006A61CF"/>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6A61C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6A61CF"/>
    <w:pPr>
      <w:widowControl w:val="0"/>
      <w:autoSpaceDE w:val="0"/>
      <w:autoSpaceDN w:val="0"/>
      <w:adjustRightInd w:val="0"/>
      <w:ind w:left="1296" w:hanging="576"/>
    </w:pPr>
    <w:rPr>
      <w:rFonts w:cs="Times New Roman"/>
    </w:rPr>
  </w:style>
  <w:style w:type="character" w:customStyle="1" w:styleId="SJIBold">
    <w:name w:val="SJI Bold"/>
    <w:uiPriority w:val="1"/>
    <w:qFormat/>
    <w:rsid w:val="006A61CF"/>
    <w:rPr>
      <w:b/>
    </w:rPr>
  </w:style>
  <w:style w:type="paragraph" w:customStyle="1" w:styleId="SJIText">
    <w:name w:val="SJI Text"/>
    <w:basedOn w:val="Normal"/>
    <w:next w:val="Normal"/>
    <w:qFormat/>
    <w:rsid w:val="006A61CF"/>
    <w:rPr>
      <w:rFonts w:cs="Times New Roman"/>
    </w:rPr>
  </w:style>
  <w:style w:type="paragraph" w:customStyle="1" w:styleId="SJITableTitle">
    <w:name w:val="SJI Table Title"/>
    <w:basedOn w:val="Normal"/>
    <w:qFormat/>
    <w:rsid w:val="006A61CF"/>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A61CF"/>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A61CF"/>
    <w:pPr>
      <w:numPr>
        <w:numId w:val="5"/>
      </w:numPr>
    </w:pPr>
  </w:style>
  <w:style w:type="paragraph" w:customStyle="1" w:styleId="SJITableNotation">
    <w:name w:val="SJI Table Notation"/>
    <w:basedOn w:val="SJITableText"/>
    <w:qFormat/>
    <w:rsid w:val="006A61CF"/>
    <w:pPr>
      <w:spacing w:before="120" w:after="240"/>
    </w:pPr>
  </w:style>
  <w:style w:type="character" w:customStyle="1" w:styleId="SJIUnderline">
    <w:name w:val="SJI Underline"/>
    <w:uiPriority w:val="1"/>
    <w:qFormat/>
    <w:rsid w:val="006A61CF"/>
    <w:rPr>
      <w:rFonts w:ascii="Times New Roman" w:hAnsi="Times New Roman"/>
      <w:sz w:val="28"/>
      <w:u w:val="single"/>
    </w:rPr>
  </w:style>
  <w:style w:type="paragraph" w:styleId="Caption">
    <w:name w:val="caption"/>
    <w:basedOn w:val="Normal"/>
    <w:next w:val="Normal"/>
    <w:uiPriority w:val="35"/>
    <w:semiHidden/>
    <w:unhideWhenUsed/>
    <w:qFormat/>
    <w:rsid w:val="006A61CF"/>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A61CF"/>
    <w:pPr>
      <w:jc w:val="center"/>
    </w:pPr>
    <w:rPr>
      <w:rFonts w:cs="Times New Roman"/>
      <w:b/>
      <w:bCs/>
      <w:sz w:val="28"/>
      <w:szCs w:val="28"/>
    </w:rPr>
  </w:style>
  <w:style w:type="character" w:customStyle="1" w:styleId="TitleChar">
    <w:name w:val="Title Char"/>
    <w:basedOn w:val="DefaultParagraphFont"/>
    <w:link w:val="Title"/>
    <w:uiPriority w:val="10"/>
    <w:locked/>
    <w:rsid w:val="006A61CF"/>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A61CF"/>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6A61CF"/>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A61CF"/>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A61CF"/>
    <w:rPr>
      <w:rFonts w:ascii="Bookman Old Style" w:hAnsi="Bookman Old Style" w:cs="Times New Roman"/>
      <w:color w:val="000000"/>
    </w:rPr>
  </w:style>
  <w:style w:type="paragraph" w:styleId="Quote">
    <w:name w:val="Quote"/>
    <w:basedOn w:val="Normal"/>
    <w:next w:val="Normal"/>
    <w:link w:val="QuoteChar"/>
    <w:uiPriority w:val="29"/>
    <w:qFormat/>
    <w:rsid w:val="006A61CF"/>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A61CF"/>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A61CF"/>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A61CF"/>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A61CF"/>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4934</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2024-09-23T20:01:00Z</dcterms:created>
  <dcterms:modified xsi:type="dcterms:W3CDTF">2024-09-23T20:01:00Z</dcterms:modified>
</cp:coreProperties>
</file>