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CCE1F" w14:textId="77777777" w:rsidR="00E54FFC" w:rsidRPr="00ED5450" w:rsidRDefault="00E54FFC" w:rsidP="00E54FFC">
      <w:pPr>
        <w:pStyle w:val="Heading3"/>
        <w:rPr>
          <w:strike/>
        </w:rPr>
      </w:pPr>
      <w:bookmarkStart w:id="0" w:name="_Toc109650454"/>
      <w:bookmarkStart w:id="1" w:name="_Toc109807664"/>
      <w:r>
        <w:t>1</w:t>
      </w:r>
      <w:r w:rsidRPr="00ED5450">
        <w:t>1.4 SEXUAL BATTERY</w:t>
      </w:r>
      <w:bookmarkEnd w:id="0"/>
      <w:bookmarkEnd w:id="1"/>
    </w:p>
    <w:p w14:paraId="34EC3E2C" w14:textId="6190B6E3" w:rsidR="00E54FFC" w:rsidRPr="00ED5450" w:rsidRDefault="00E54FFC" w:rsidP="00E54FFC">
      <w:pPr>
        <w:pStyle w:val="SJIStatuteinTitle"/>
      </w:pPr>
      <w:r w:rsidRPr="00ED5450">
        <w:t>§§ 794.011(5)(a), (5)(b), (5)(c), and (5)(d), Fla. Stat.</w:t>
      </w:r>
      <w:r w:rsidR="00D44236">
        <w:t>**</w:t>
      </w:r>
    </w:p>
    <w:p w14:paraId="6619FFB0" w14:textId="77777777" w:rsidR="00E54FFC" w:rsidRPr="00ED5450" w:rsidRDefault="00E54FFC" w:rsidP="00675194">
      <w:pPr>
        <w:tabs>
          <w:tab w:val="left" w:pos="720"/>
        </w:tabs>
        <w:suppressAutoHyphens/>
        <w:rPr>
          <w:b/>
          <w:bCs/>
        </w:rPr>
      </w:pPr>
      <w:r w:rsidRPr="00ED5450">
        <w:rPr>
          <w:b/>
          <w:bCs/>
        </w:rPr>
        <w:t>To prove the crime of Sexual Battery, the State must prove the following four elements beyond a reasonable doubt:</w:t>
      </w:r>
    </w:p>
    <w:p w14:paraId="0E72FDC0" w14:textId="77777777" w:rsidR="00E54FFC" w:rsidRPr="00A150FF" w:rsidRDefault="00E54FFC" w:rsidP="00E54FFC">
      <w:pPr>
        <w:pStyle w:val="SJITextItalic"/>
      </w:pPr>
      <w:r w:rsidRPr="00A150FF">
        <w:t xml:space="preserve">Give 1a or </w:t>
      </w:r>
      <w:r w:rsidRPr="00F0396F">
        <w:t xml:space="preserve">1b </w:t>
      </w:r>
      <w:r w:rsidR="00675194" w:rsidRPr="00F0396F">
        <w:t xml:space="preserve">or both </w:t>
      </w:r>
      <w:r w:rsidRPr="00A150FF">
        <w:t>as applicable.</w:t>
      </w:r>
    </w:p>
    <w:p w14:paraId="2BC3A865" w14:textId="2BD0A558" w:rsidR="00E54FFC" w:rsidRPr="00A150FF" w:rsidRDefault="00E54FFC" w:rsidP="005B063D">
      <w:pPr>
        <w:tabs>
          <w:tab w:val="left" w:pos="900"/>
        </w:tabs>
        <w:suppressAutoHyphens/>
        <w:ind w:left="1526" w:hanging="806"/>
        <w:rPr>
          <w:b/>
          <w:bCs/>
        </w:rPr>
      </w:pPr>
      <w:r w:rsidRPr="00A150FF">
        <w:rPr>
          <w:b/>
          <w:bCs/>
        </w:rPr>
        <w:t>1.</w:t>
      </w:r>
      <w:r w:rsidRPr="00A150FF">
        <w:rPr>
          <w:b/>
          <w:bCs/>
        </w:rPr>
        <w:tab/>
        <w:t>a.</w:t>
      </w:r>
      <w:r w:rsidRPr="00A150FF">
        <w:rPr>
          <w:b/>
          <w:bCs/>
        </w:rPr>
        <w:tab/>
      </w:r>
      <w:r w:rsidRPr="00A150FF">
        <w:t xml:space="preserve">(Defendant) </w:t>
      </w:r>
      <w:r w:rsidRPr="00A150FF">
        <w:rPr>
          <w:b/>
          <w:bCs/>
        </w:rPr>
        <w:t>committed an act [upon] [with]</w:t>
      </w:r>
      <w:r w:rsidRPr="00A150FF">
        <w:t xml:space="preserve"> (victim)</w:t>
      </w:r>
      <w:r w:rsidRPr="00A150FF">
        <w:rPr>
          <w:b/>
          <w:bCs/>
        </w:rPr>
        <w:t xml:space="preserve"> in which the sexual organ of the [</w:t>
      </w:r>
      <w:r w:rsidRPr="00A150FF">
        <w:t>(defendant)</w:t>
      </w:r>
      <w:r w:rsidRPr="00A150FF">
        <w:rPr>
          <w:b/>
          <w:bCs/>
        </w:rPr>
        <w:t>] [</w:t>
      </w:r>
      <w:r w:rsidRPr="00A150FF">
        <w:t>(victim)</w:t>
      </w:r>
      <w:r w:rsidRPr="00A150FF">
        <w:rPr>
          <w:b/>
          <w:bCs/>
        </w:rPr>
        <w:t>] penetrated or had union with the [anus</w:t>
      </w:r>
      <w:r w:rsidRPr="00F0396F">
        <w:rPr>
          <w:b/>
          <w:bCs/>
        </w:rPr>
        <w:t>]</w:t>
      </w:r>
      <w:r w:rsidR="00410513" w:rsidRPr="00F0396F">
        <w:rPr>
          <w:b/>
          <w:bCs/>
        </w:rPr>
        <w:t xml:space="preserve"> [female genitals</w:t>
      </w:r>
      <w:r w:rsidR="00D44236">
        <w:rPr>
          <w:b/>
          <w:bCs/>
        </w:rPr>
        <w:t>**</w:t>
      </w:r>
      <w:r w:rsidR="00410513" w:rsidRPr="00F0396F">
        <w:rPr>
          <w:b/>
          <w:bCs/>
        </w:rPr>
        <w:t>]</w:t>
      </w:r>
      <w:r w:rsidR="00410513" w:rsidRPr="00A150FF">
        <w:rPr>
          <w:b/>
          <w:bCs/>
        </w:rPr>
        <w:t xml:space="preserve"> </w:t>
      </w:r>
      <w:r w:rsidRPr="00A150FF">
        <w:rPr>
          <w:b/>
          <w:bCs/>
        </w:rPr>
        <w:t>[mouth] of the [</w:t>
      </w:r>
      <w:r w:rsidRPr="00A150FF">
        <w:rPr>
          <w:bCs/>
        </w:rPr>
        <w:t>(</w:t>
      </w:r>
      <w:r w:rsidRPr="00A150FF">
        <w:t>victim)</w:t>
      </w:r>
      <w:r w:rsidRPr="00A150FF">
        <w:rPr>
          <w:b/>
          <w:bCs/>
        </w:rPr>
        <w:t>] [</w:t>
      </w:r>
      <w:r w:rsidRPr="00A150FF">
        <w:t>(defendant)</w:t>
      </w:r>
      <w:r w:rsidRPr="00A150FF">
        <w:rPr>
          <w:b/>
          <w:bCs/>
        </w:rPr>
        <w:t>].</w:t>
      </w:r>
    </w:p>
    <w:p w14:paraId="478FC044" w14:textId="5B6616B5" w:rsidR="00E54FFC" w:rsidRPr="00F0396F" w:rsidRDefault="005B063D" w:rsidP="005B063D">
      <w:pPr>
        <w:tabs>
          <w:tab w:val="left" w:pos="0"/>
          <w:tab w:val="left" w:pos="1530"/>
        </w:tabs>
        <w:suppressAutoHyphens/>
        <w:ind w:left="1526" w:hanging="806"/>
        <w:rPr>
          <w:b/>
          <w:bCs/>
        </w:rPr>
      </w:pPr>
      <w:r>
        <w:rPr>
          <w:b/>
          <w:bCs/>
        </w:rPr>
        <w:tab/>
      </w:r>
      <w:r w:rsidR="00E54FFC" w:rsidRPr="00A150FF">
        <w:rPr>
          <w:b/>
          <w:bCs/>
        </w:rPr>
        <w:t xml:space="preserve">b. </w:t>
      </w:r>
      <w:r w:rsidR="00E54FFC" w:rsidRPr="00A150FF">
        <w:rPr>
          <w:b/>
          <w:bCs/>
        </w:rPr>
        <w:tab/>
      </w:r>
      <w:r w:rsidR="00E54FFC" w:rsidRPr="00A150FF">
        <w:t xml:space="preserve">(Defendant) </w:t>
      </w:r>
      <w:r w:rsidR="00E54FFC" w:rsidRPr="00A150FF">
        <w:rPr>
          <w:b/>
          <w:bCs/>
        </w:rPr>
        <w:t>committed an act [upon] [with]</w:t>
      </w:r>
      <w:r w:rsidR="00E54FFC" w:rsidRPr="00A150FF">
        <w:t xml:space="preserve"> (victim) </w:t>
      </w:r>
      <w:r w:rsidR="00E54FFC" w:rsidRPr="00A150FF">
        <w:rPr>
          <w:b/>
          <w:bCs/>
        </w:rPr>
        <w:t>in which the [anus]</w:t>
      </w:r>
      <w:r w:rsidR="00410513" w:rsidRPr="00A150FF">
        <w:rPr>
          <w:b/>
          <w:bCs/>
        </w:rPr>
        <w:t xml:space="preserve"> </w:t>
      </w:r>
      <w:r w:rsidR="00410513" w:rsidRPr="00F0396F">
        <w:rPr>
          <w:b/>
          <w:bCs/>
        </w:rPr>
        <w:t>[female genitals</w:t>
      </w:r>
      <w:r w:rsidR="00D44236">
        <w:rPr>
          <w:b/>
          <w:bCs/>
        </w:rPr>
        <w:t>**</w:t>
      </w:r>
      <w:r w:rsidR="00410513" w:rsidRPr="00F0396F">
        <w:rPr>
          <w:b/>
          <w:bCs/>
        </w:rPr>
        <w:t>]</w:t>
      </w:r>
      <w:r w:rsidR="00410513" w:rsidRPr="00A150FF">
        <w:rPr>
          <w:b/>
          <w:bCs/>
        </w:rPr>
        <w:t xml:space="preserve"> </w:t>
      </w:r>
      <w:r w:rsidR="00E54FFC" w:rsidRPr="00A150FF">
        <w:rPr>
          <w:b/>
          <w:bCs/>
        </w:rPr>
        <w:t>of</w:t>
      </w:r>
      <w:r w:rsidR="00E54FFC" w:rsidRPr="00A150FF">
        <w:t xml:space="preserve"> </w:t>
      </w:r>
      <w:r w:rsidR="00E54FFC" w:rsidRPr="00A150FF">
        <w:rPr>
          <w:b/>
        </w:rPr>
        <w:t>[</w:t>
      </w:r>
      <w:r w:rsidR="00E54FFC" w:rsidRPr="00A150FF">
        <w:t>(victim)</w:t>
      </w:r>
      <w:r w:rsidR="00E54FFC" w:rsidRPr="00A150FF">
        <w:rPr>
          <w:b/>
        </w:rPr>
        <w:t>] [</w:t>
      </w:r>
      <w:r w:rsidR="00E54FFC" w:rsidRPr="00A150FF">
        <w:t>(defendant)</w:t>
      </w:r>
      <w:r w:rsidR="00E54FFC" w:rsidRPr="00A150FF">
        <w:rPr>
          <w:b/>
        </w:rPr>
        <w:t>]</w:t>
      </w:r>
      <w:r w:rsidR="00E54FFC" w:rsidRPr="00A150FF">
        <w:t xml:space="preserve"> </w:t>
      </w:r>
      <w:r w:rsidR="006F113E" w:rsidRPr="00F0396F">
        <w:t>[</w:t>
      </w:r>
      <w:r w:rsidR="00E54FFC" w:rsidRPr="00F0396F">
        <w:rPr>
          <w:b/>
          <w:bCs/>
        </w:rPr>
        <w:t>was</w:t>
      </w:r>
      <w:r w:rsidR="006F113E" w:rsidRPr="00F0396F">
        <w:rPr>
          <w:b/>
          <w:bCs/>
        </w:rPr>
        <w:t>] [were]</w:t>
      </w:r>
      <w:r w:rsidR="00E54FFC" w:rsidRPr="00F0396F">
        <w:rPr>
          <w:b/>
          <w:bCs/>
        </w:rPr>
        <w:t xml:space="preserve"> penetrated by an object. </w:t>
      </w:r>
    </w:p>
    <w:p w14:paraId="6CF37B2D" w14:textId="77777777" w:rsidR="00E54FFC" w:rsidRPr="006F113E" w:rsidRDefault="00E54FFC" w:rsidP="00E54FFC">
      <w:pPr>
        <w:tabs>
          <w:tab w:val="left" w:pos="720"/>
          <w:tab w:val="num" w:pos="1440"/>
        </w:tabs>
        <w:suppressAutoHyphens/>
      </w:pPr>
      <w:r w:rsidRPr="006F113E">
        <w:rPr>
          <w:b/>
          <w:bCs/>
        </w:rPr>
        <w:t>2.</w:t>
      </w:r>
      <w:r w:rsidRPr="006F113E">
        <w:rPr>
          <w:b/>
          <w:bCs/>
        </w:rPr>
        <w:tab/>
      </w:r>
      <w:r w:rsidRPr="006F113E">
        <w:rPr>
          <w:bCs/>
        </w:rPr>
        <w:t xml:space="preserve">(Defendant’s) </w:t>
      </w:r>
      <w:r w:rsidRPr="006F113E">
        <w:rPr>
          <w:b/>
          <w:bCs/>
        </w:rPr>
        <w:t>act was committed without the consent of</w:t>
      </w:r>
      <w:r w:rsidRPr="006F113E">
        <w:t xml:space="preserve"> (victim)</w:t>
      </w:r>
      <w:r w:rsidRPr="006F113E">
        <w:rPr>
          <w:b/>
          <w:bCs/>
        </w:rPr>
        <w:t>.</w:t>
      </w:r>
    </w:p>
    <w:p w14:paraId="53C96528" w14:textId="77777777" w:rsidR="00E54FFC" w:rsidRPr="006F113E" w:rsidRDefault="00E54FFC" w:rsidP="00E54FFC">
      <w:pPr>
        <w:pStyle w:val="SJITextItalic"/>
      </w:pPr>
      <w:r w:rsidRPr="006F113E">
        <w:t xml:space="preserve">Give 3a or 3b as applicable. </w:t>
      </w:r>
    </w:p>
    <w:p w14:paraId="134435B3" w14:textId="6C970811" w:rsidR="00E54FFC" w:rsidRDefault="00E54FFC" w:rsidP="005B063D">
      <w:pPr>
        <w:tabs>
          <w:tab w:val="left" w:pos="900"/>
        </w:tabs>
        <w:suppressAutoHyphens/>
        <w:ind w:left="1627" w:hanging="907"/>
        <w:rPr>
          <w:b/>
          <w:bCs/>
        </w:rPr>
      </w:pPr>
      <w:r w:rsidRPr="006F113E">
        <w:rPr>
          <w:b/>
          <w:bCs/>
        </w:rPr>
        <w:t>3.</w:t>
      </w:r>
      <w:r w:rsidRPr="006F113E">
        <w:rPr>
          <w:b/>
          <w:bCs/>
        </w:rPr>
        <w:tab/>
        <w:t>a.</w:t>
      </w:r>
      <w:r w:rsidRPr="006F113E">
        <w:rPr>
          <w:b/>
          <w:bCs/>
        </w:rPr>
        <w:tab/>
        <w:t xml:space="preserve">At the time, </w:t>
      </w:r>
      <w:r w:rsidRPr="006F113E">
        <w:t>(victim)</w:t>
      </w:r>
      <w:r w:rsidRPr="006F113E">
        <w:rPr>
          <w:b/>
          <w:bCs/>
        </w:rPr>
        <w:t xml:space="preserve"> was 12 years of age or older [but younger than 18 years of age].</w:t>
      </w:r>
    </w:p>
    <w:p w14:paraId="5A03E531" w14:textId="0514B90D" w:rsidR="005B063D" w:rsidRDefault="00E54FFC" w:rsidP="005B063D">
      <w:pPr>
        <w:tabs>
          <w:tab w:val="left" w:pos="0"/>
          <w:tab w:val="left" w:pos="1620"/>
        </w:tabs>
        <w:suppressAutoHyphens/>
        <w:ind w:left="1627" w:hanging="907"/>
        <w:rPr>
          <w:b/>
          <w:bCs/>
        </w:rPr>
      </w:pPr>
      <w:r w:rsidRPr="00752B89">
        <w:rPr>
          <w:b/>
          <w:bCs/>
        </w:rPr>
        <w:tab/>
        <w:t>b.</w:t>
      </w:r>
      <w:r w:rsidRPr="00752B89">
        <w:rPr>
          <w:b/>
          <w:bCs/>
        </w:rPr>
        <w:tab/>
        <w:t xml:space="preserve">At the time, </w:t>
      </w:r>
      <w:r w:rsidRPr="00675194">
        <w:t>(victim)</w:t>
      </w:r>
      <w:r w:rsidRPr="00752B89">
        <w:rPr>
          <w:b/>
          <w:bCs/>
        </w:rPr>
        <w:t xml:space="preserve"> was 18 years of age or</w:t>
      </w:r>
      <w:r w:rsidR="008F2E68">
        <w:rPr>
          <w:b/>
          <w:bCs/>
        </w:rPr>
        <w:t xml:space="preserve"> </w:t>
      </w:r>
      <w:r w:rsidRPr="00752B89">
        <w:rPr>
          <w:b/>
          <w:bCs/>
        </w:rPr>
        <w:t>older.</w:t>
      </w:r>
      <w:r w:rsidR="008F2E68">
        <w:rPr>
          <w:b/>
          <w:bCs/>
        </w:rPr>
        <w:t xml:space="preserve">  </w:t>
      </w:r>
    </w:p>
    <w:p w14:paraId="3FAD1D07" w14:textId="49A1AA02" w:rsidR="00E54FFC" w:rsidRPr="005B063D" w:rsidRDefault="00E54FFC" w:rsidP="005B063D">
      <w:pPr>
        <w:rPr>
          <w:b/>
          <w:bCs/>
        </w:rPr>
      </w:pPr>
      <w:r w:rsidRPr="00ED5450">
        <w:t>Give 4a or 4b as applicable.</w:t>
      </w:r>
    </w:p>
    <w:p w14:paraId="6F3F7479" w14:textId="77777777" w:rsidR="00E54FFC" w:rsidRPr="00ED5450" w:rsidRDefault="00E54FFC" w:rsidP="00E54FFC">
      <w:pPr>
        <w:tabs>
          <w:tab w:val="left" w:pos="1620"/>
        </w:tabs>
        <w:suppressAutoHyphens/>
        <w:ind w:left="2160" w:hanging="1440"/>
        <w:rPr>
          <w:b/>
        </w:rPr>
      </w:pPr>
      <w:r w:rsidRPr="00ED5450">
        <w:rPr>
          <w:b/>
        </w:rPr>
        <w:t>4.</w:t>
      </w:r>
      <w:r>
        <w:rPr>
          <w:b/>
        </w:rPr>
        <w:tab/>
      </w:r>
      <w:r w:rsidRPr="00ED5450">
        <w:rPr>
          <w:b/>
        </w:rPr>
        <w:t xml:space="preserve">a. </w:t>
      </w:r>
      <w:r w:rsidRPr="00ED5450">
        <w:rPr>
          <w:b/>
        </w:rPr>
        <w:tab/>
        <w:t xml:space="preserve">At the time, </w:t>
      </w:r>
      <w:r w:rsidRPr="00ED5450">
        <w:t xml:space="preserve">(defendant) </w:t>
      </w:r>
      <w:r w:rsidRPr="00ED5450">
        <w:rPr>
          <w:b/>
        </w:rPr>
        <w:t>was 18 years of age or older.</w:t>
      </w:r>
    </w:p>
    <w:p w14:paraId="70644B7A" w14:textId="77777777" w:rsidR="00E54FFC" w:rsidRPr="00ED5450" w:rsidRDefault="00E54FFC" w:rsidP="00E54FFC">
      <w:pPr>
        <w:tabs>
          <w:tab w:val="left" w:pos="1620"/>
        </w:tabs>
        <w:suppressAutoHyphens/>
        <w:ind w:left="2160" w:hanging="1440"/>
        <w:rPr>
          <w:b/>
        </w:rPr>
      </w:pPr>
      <w:r>
        <w:rPr>
          <w:b/>
        </w:rPr>
        <w:tab/>
      </w:r>
      <w:r w:rsidRPr="00ED5450">
        <w:rPr>
          <w:b/>
        </w:rPr>
        <w:t xml:space="preserve">b. </w:t>
      </w:r>
      <w:r w:rsidRPr="00ED5450">
        <w:rPr>
          <w:b/>
        </w:rPr>
        <w:tab/>
        <w:t xml:space="preserve">At the time, </w:t>
      </w:r>
      <w:r w:rsidRPr="00ED5450">
        <w:t xml:space="preserve">(defendant) </w:t>
      </w:r>
      <w:r w:rsidRPr="00ED5450">
        <w:rPr>
          <w:b/>
        </w:rPr>
        <w:t xml:space="preserve">was younger than 18 years of age. </w:t>
      </w:r>
    </w:p>
    <w:p w14:paraId="52B07B89" w14:textId="77777777" w:rsidR="00F0396F" w:rsidRPr="006F113E" w:rsidRDefault="00F0396F" w:rsidP="0069559C">
      <w:pPr>
        <w:pStyle w:val="SJITextItalic"/>
      </w:pPr>
      <w:r w:rsidRPr="00F0396F">
        <w:t>Give if applicable.</w:t>
      </w:r>
      <w:r w:rsidR="0069559C">
        <w:t xml:space="preserve"> </w:t>
      </w:r>
      <w:r w:rsidRPr="006F113E">
        <w:t>§ 794.011(1), Fla. Stat.</w:t>
      </w:r>
    </w:p>
    <w:p w14:paraId="5780061E" w14:textId="77777777" w:rsidR="00F0396F" w:rsidRPr="006F113E" w:rsidRDefault="00F0396F" w:rsidP="00F0396F">
      <w:pPr>
        <w:tabs>
          <w:tab w:val="left" w:pos="720"/>
        </w:tabs>
        <w:suppressAutoHyphens/>
        <w:rPr>
          <w:b/>
          <w:bCs/>
        </w:rPr>
      </w:pPr>
      <w:r w:rsidRPr="006F113E">
        <w:rPr>
          <w:b/>
          <w:bCs/>
        </w:rPr>
        <w:t xml:space="preserve">However, any act done for bona fide medical purposes is not a </w:t>
      </w:r>
      <w:r>
        <w:rPr>
          <w:b/>
          <w:bCs/>
        </w:rPr>
        <w:t>S</w:t>
      </w:r>
      <w:r w:rsidRPr="006F113E">
        <w:rPr>
          <w:b/>
          <w:bCs/>
        </w:rPr>
        <w:t xml:space="preserve">exual </w:t>
      </w:r>
      <w:r>
        <w:rPr>
          <w:b/>
          <w:bCs/>
        </w:rPr>
        <w:t>B</w:t>
      </w:r>
      <w:r w:rsidRPr="006F113E">
        <w:rPr>
          <w:b/>
          <w:bCs/>
        </w:rPr>
        <w:t>attery.</w:t>
      </w:r>
    </w:p>
    <w:p w14:paraId="65779473" w14:textId="77777777" w:rsidR="00F0396F" w:rsidRPr="006F113E" w:rsidRDefault="00F0396F" w:rsidP="00F0396F">
      <w:pPr>
        <w:pStyle w:val="SJITextItalic"/>
      </w:pPr>
      <w:r w:rsidRPr="006F113E">
        <w:t>§ 794.021, Fla. Stat.</w:t>
      </w:r>
    </w:p>
    <w:p w14:paraId="3786DAAB" w14:textId="77777777" w:rsidR="00F0396F" w:rsidRPr="006F113E" w:rsidRDefault="00F0396F" w:rsidP="00F0396F">
      <w:pPr>
        <w:tabs>
          <w:tab w:val="left" w:pos="-1440"/>
        </w:tabs>
        <w:rPr>
          <w:b/>
        </w:rPr>
      </w:pPr>
      <w:r w:rsidRPr="006F113E">
        <w:rPr>
          <w:b/>
        </w:rPr>
        <w:t xml:space="preserve">Ignorance of </w:t>
      </w:r>
      <w:r w:rsidRPr="006F113E">
        <w:t>(victim’s)</w:t>
      </w:r>
      <w:r w:rsidRPr="006F113E">
        <w:rPr>
          <w:b/>
        </w:rPr>
        <w:t xml:space="preserve"> age, </w:t>
      </w:r>
      <w:r w:rsidRPr="006F113E">
        <w:t xml:space="preserve">(victim’s) </w:t>
      </w:r>
      <w:r w:rsidRPr="006F113E">
        <w:rPr>
          <w:b/>
        </w:rPr>
        <w:t xml:space="preserve">misrepresentation of his or her age, or </w:t>
      </w:r>
      <w:r>
        <w:rPr>
          <w:b/>
        </w:rPr>
        <w:t>the</w:t>
      </w:r>
      <w:r w:rsidRPr="006F113E">
        <w:rPr>
          <w:b/>
        </w:rPr>
        <w:t xml:space="preserve"> defendant’s bona fide belief of </w:t>
      </w:r>
      <w:r w:rsidRPr="006F113E">
        <w:t xml:space="preserve">(victim’s) </w:t>
      </w:r>
      <w:r w:rsidRPr="006F113E">
        <w:rPr>
          <w:b/>
        </w:rPr>
        <w:t>age is not a defense to the crime charged.</w:t>
      </w:r>
    </w:p>
    <w:p w14:paraId="4B7F9242" w14:textId="77777777" w:rsidR="00F0396F" w:rsidRPr="006F113E" w:rsidRDefault="00F0396F" w:rsidP="00F0396F">
      <w:pPr>
        <w:pStyle w:val="SJITextItalic"/>
      </w:pPr>
      <w:r w:rsidRPr="006F113E">
        <w:t>Give if applicable.</w:t>
      </w:r>
    </w:p>
    <w:p w14:paraId="781ADA65" w14:textId="77777777" w:rsidR="00F0396F" w:rsidRPr="006F113E" w:rsidRDefault="00F0396F" w:rsidP="00F0396F">
      <w:pPr>
        <w:tabs>
          <w:tab w:val="left" w:pos="720"/>
        </w:tabs>
        <w:suppressAutoHyphens/>
        <w:rPr>
          <w:b/>
          <w:bCs/>
          <w:i/>
        </w:rPr>
      </w:pPr>
      <w:r w:rsidRPr="006F113E">
        <w:rPr>
          <w:b/>
          <w:bCs/>
        </w:rPr>
        <w:t>“Bona fide” means genuine.</w:t>
      </w:r>
    </w:p>
    <w:p w14:paraId="39394E87" w14:textId="77777777" w:rsidR="00E54FFC" w:rsidRPr="00ED5450" w:rsidRDefault="00E54FFC" w:rsidP="00675194">
      <w:pPr>
        <w:pStyle w:val="SJITextItalic"/>
      </w:pPr>
      <w:r w:rsidRPr="00ED5450">
        <w:t>Give in all cases. § 794.011(1)</w:t>
      </w:r>
      <w:r w:rsidRPr="006F113E">
        <w:t>,</w:t>
      </w:r>
      <w:r w:rsidRPr="00ED5450">
        <w:t xml:space="preserve"> Fla. Stat.</w:t>
      </w:r>
    </w:p>
    <w:p w14:paraId="66865201" w14:textId="33A11AFA" w:rsidR="00CA473C" w:rsidRDefault="00E54FFC" w:rsidP="00675194">
      <w:pPr>
        <w:tabs>
          <w:tab w:val="left" w:pos="720"/>
        </w:tabs>
        <w:suppressAutoHyphens/>
        <w:rPr>
          <w:b/>
          <w:bCs/>
        </w:rPr>
      </w:pPr>
      <w:r w:rsidRPr="00ED5450">
        <w:rPr>
          <w:b/>
          <w:bCs/>
        </w:rPr>
        <w:t>“Consent” means intelligent, knowing, and voluntary consent and does not include coerced submission. Consent does not mean the failure by the alleged victim to offer physical resistance to the offender.</w:t>
      </w:r>
    </w:p>
    <w:p w14:paraId="4694A690" w14:textId="77777777" w:rsidR="00CA473C" w:rsidRDefault="00CA473C">
      <w:pPr>
        <w:spacing w:after="160"/>
        <w:ind w:firstLine="0"/>
        <w:rPr>
          <w:b/>
          <w:bCs/>
        </w:rPr>
      </w:pPr>
      <w:r>
        <w:rPr>
          <w:b/>
          <w:bCs/>
        </w:rPr>
        <w:br w:type="page"/>
      </w:r>
    </w:p>
    <w:p w14:paraId="439BDEB2" w14:textId="77777777" w:rsidR="00E54FFC" w:rsidRPr="00ED5450" w:rsidRDefault="00E54FFC" w:rsidP="0069559C">
      <w:pPr>
        <w:pStyle w:val="SJITextItalic"/>
      </w:pPr>
      <w:r w:rsidRPr="00ED5450">
        <w:t>Give if applicable.</w:t>
      </w:r>
      <w:r w:rsidR="0069559C">
        <w:t xml:space="preserve"> </w:t>
      </w:r>
      <w:r w:rsidRPr="00ED5450">
        <w:t>§ 794.022(4), Fla. Stat.</w:t>
      </w:r>
    </w:p>
    <w:p w14:paraId="4DBB30B3" w14:textId="77777777" w:rsidR="00E54FFC" w:rsidRPr="00ED5450" w:rsidRDefault="00E54FFC" w:rsidP="00675194">
      <w:pPr>
        <w:tabs>
          <w:tab w:val="left" w:pos="720"/>
        </w:tabs>
        <w:suppressAutoHyphens/>
        <w:rPr>
          <w:b/>
          <w:bCs/>
        </w:rPr>
      </w:pPr>
      <w:r w:rsidRPr="00ED5450">
        <w:rPr>
          <w:b/>
          <w:bCs/>
        </w:rPr>
        <w:t xml:space="preserve">Evidence of </w:t>
      </w:r>
      <w:r w:rsidRPr="00ED5450">
        <w:rPr>
          <w:bCs/>
        </w:rPr>
        <w:t xml:space="preserve">(victim’s) </w:t>
      </w:r>
      <w:r w:rsidRPr="00ED5450">
        <w:rPr>
          <w:b/>
          <w:bCs/>
        </w:rPr>
        <w:t>mental incapacity or defect, if any, may be considered in determining whether there was an intelligent, knowing, and voluntary consent.</w:t>
      </w:r>
    </w:p>
    <w:p w14:paraId="21481B4C" w14:textId="77777777" w:rsidR="00E54FFC" w:rsidRPr="00ED5450" w:rsidRDefault="00E54FFC" w:rsidP="00675194">
      <w:pPr>
        <w:pStyle w:val="SJITextItalic"/>
      </w:pPr>
      <w:r w:rsidRPr="00ED5450">
        <w:t>§ 794.011(1)</w:t>
      </w:r>
      <w:r w:rsidRPr="006F113E">
        <w:t xml:space="preserve">, </w:t>
      </w:r>
      <w:r w:rsidRPr="00ED5450">
        <w:t>Fla. Stat.</w:t>
      </w:r>
    </w:p>
    <w:p w14:paraId="664BE509" w14:textId="77777777" w:rsidR="00E54FFC" w:rsidRPr="00ED5450" w:rsidRDefault="00E54FFC" w:rsidP="00675194">
      <w:pPr>
        <w:tabs>
          <w:tab w:val="left" w:pos="720"/>
        </w:tabs>
        <w:suppressAutoHyphens/>
        <w:rPr>
          <w:b/>
          <w:bCs/>
        </w:rPr>
      </w:pPr>
      <w:r w:rsidRPr="00ED5450">
        <w:rPr>
          <w:b/>
          <w:bCs/>
        </w:rPr>
        <w:t>“Mentally incapacitated” means that a person is rendered temporarily incapable of appraising or controlling his or her conduct due to the influence of a narcotic, anesthetic, or intoxicating substance administered to that person without his or her consent, or due to any other act committed upon that person without his or her consent.</w:t>
      </w:r>
    </w:p>
    <w:p w14:paraId="089E6D7A" w14:textId="77777777" w:rsidR="00E54FFC" w:rsidRPr="006F113E" w:rsidRDefault="00E54FFC" w:rsidP="00675194">
      <w:pPr>
        <w:pStyle w:val="SJITextItalic"/>
        <w:rPr>
          <w:b/>
          <w:bCs/>
        </w:rPr>
      </w:pPr>
      <w:r w:rsidRPr="00ED5450">
        <w:t>§ 794.011(1</w:t>
      </w:r>
      <w:r w:rsidRPr="006F113E">
        <w:t>), Fla. Stat.</w:t>
      </w:r>
    </w:p>
    <w:p w14:paraId="40DAA7AE" w14:textId="77777777" w:rsidR="00E54FFC" w:rsidRPr="006F113E" w:rsidRDefault="00E54FFC" w:rsidP="00675194">
      <w:pPr>
        <w:tabs>
          <w:tab w:val="left" w:pos="720"/>
        </w:tabs>
        <w:suppressAutoHyphens/>
        <w:rPr>
          <w:b/>
          <w:bCs/>
        </w:rPr>
      </w:pPr>
      <w:r w:rsidRPr="006F113E">
        <w:rPr>
          <w:b/>
          <w:bCs/>
        </w:rPr>
        <w:t>“Mentally defective” means that a person suffers from a mental disease or defect that renders that person temporarily or permanently incapable of appraising the nature of his or her conduct.</w:t>
      </w:r>
    </w:p>
    <w:p w14:paraId="1F5F8732" w14:textId="77777777" w:rsidR="00E54FFC" w:rsidRPr="006F113E" w:rsidRDefault="00E54FFC" w:rsidP="00675194">
      <w:pPr>
        <w:pStyle w:val="SJITextItalic"/>
      </w:pPr>
      <w:r w:rsidRPr="006F113E">
        <w:t>Lakey v. State, 113 So. 3d 90 (Fla. 5th DCA 2013).</w:t>
      </w:r>
    </w:p>
    <w:p w14:paraId="2ED2397F" w14:textId="77777777" w:rsidR="00E54FFC" w:rsidRPr="006F113E" w:rsidRDefault="00E54FFC" w:rsidP="006751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Cs/>
        </w:rPr>
      </w:pPr>
      <w:r w:rsidRPr="006F113E">
        <w:rPr>
          <w:b/>
          <w:iCs/>
        </w:rPr>
        <w:t xml:space="preserve">“An object” includes a finger. </w:t>
      </w:r>
    </w:p>
    <w:p w14:paraId="51F476AE" w14:textId="77777777" w:rsidR="006F113E" w:rsidRPr="00F0396F" w:rsidRDefault="006F113E" w:rsidP="006F113E">
      <w:pPr>
        <w:tabs>
          <w:tab w:val="left" w:pos="720"/>
        </w:tabs>
        <w:suppressAutoHyphens/>
        <w:spacing w:after="0"/>
        <w:rPr>
          <w:rFonts w:cs="Times New Roman"/>
          <w:i/>
          <w:iCs/>
          <w:szCs w:val="24"/>
        </w:rPr>
      </w:pPr>
      <w:r w:rsidRPr="00F0396F">
        <w:rPr>
          <w:rFonts w:cs="Times New Roman"/>
          <w:i/>
          <w:iCs/>
          <w:szCs w:val="24"/>
        </w:rPr>
        <w:t>Phillips v. State, 238 So. 3d 308 (Fla. 4th DCA 2018).</w:t>
      </w:r>
    </w:p>
    <w:p w14:paraId="2A79DE3C" w14:textId="77777777" w:rsidR="00E54FFC" w:rsidRPr="006F113E" w:rsidRDefault="00E54FFC" w:rsidP="00675194">
      <w:pPr>
        <w:tabs>
          <w:tab w:val="left" w:pos="720"/>
        </w:tabs>
        <w:suppressAutoHyphens/>
        <w:rPr>
          <w:b/>
          <w:bCs/>
        </w:rPr>
      </w:pPr>
      <w:r w:rsidRPr="006F113E">
        <w:rPr>
          <w:b/>
          <w:bCs/>
        </w:rPr>
        <w:t>“Union” means contact.</w:t>
      </w:r>
    </w:p>
    <w:p w14:paraId="204F624A" w14:textId="77777777" w:rsidR="00410513" w:rsidRPr="0069559C" w:rsidRDefault="00410513" w:rsidP="0069559C">
      <w:pPr>
        <w:pStyle w:val="SJITextItalic"/>
        <w:rPr>
          <w:b/>
          <w:bCs/>
        </w:rPr>
      </w:pPr>
      <w:r w:rsidRPr="00F0396F">
        <w:t>Give if applicable.</w:t>
      </w:r>
      <w:r w:rsidR="0069559C">
        <w:rPr>
          <w:b/>
          <w:bCs/>
        </w:rPr>
        <w:t xml:space="preserve"> </w:t>
      </w:r>
      <w:r w:rsidRPr="00F0396F">
        <w:t>§ 794.011(1), Fla. Stat.</w:t>
      </w:r>
    </w:p>
    <w:p w14:paraId="207A7718" w14:textId="3172B0E8" w:rsidR="00410513" w:rsidRPr="00CA473C" w:rsidRDefault="00410513" w:rsidP="00CA473C">
      <w:pPr>
        <w:rPr>
          <w:b/>
          <w:bCs/>
        </w:rPr>
      </w:pPr>
      <w:r w:rsidRPr="00CA473C">
        <w:rPr>
          <w:b/>
          <w:bCs/>
        </w:rPr>
        <w:t>“Female genitals</w:t>
      </w:r>
      <w:r w:rsidR="00D44236" w:rsidRPr="00CA473C">
        <w:rPr>
          <w:b/>
          <w:bCs/>
        </w:rPr>
        <w:t>**</w:t>
      </w:r>
      <w:r w:rsidRPr="00CA473C">
        <w:rPr>
          <w:b/>
          <w:bCs/>
        </w:rPr>
        <w:t>” includes the labia minora, labia majora, clitoris,</w:t>
      </w:r>
      <w:r w:rsidR="00675194" w:rsidRPr="00CA473C">
        <w:rPr>
          <w:b/>
          <w:bCs/>
        </w:rPr>
        <w:t xml:space="preserve"> </w:t>
      </w:r>
      <w:r w:rsidRPr="00CA473C">
        <w:rPr>
          <w:b/>
          <w:bCs/>
        </w:rPr>
        <w:t>vulva, hymen, and vagina.</w:t>
      </w:r>
    </w:p>
    <w:p w14:paraId="15378EC4" w14:textId="77777777" w:rsidR="00E54FFC" w:rsidRPr="00ED5450" w:rsidRDefault="00E54FFC" w:rsidP="00E54FFC">
      <w:pPr>
        <w:pStyle w:val="SJITextItalic"/>
      </w:pPr>
      <w:r w:rsidRPr="006F113E">
        <w:t>Give if requested. § 794.022, Fla. Stat.</w:t>
      </w:r>
    </w:p>
    <w:p w14:paraId="0F6CADC7" w14:textId="77777777" w:rsidR="00E54FFC" w:rsidRPr="00ED5450" w:rsidRDefault="00E54FFC" w:rsidP="00E54FFC">
      <w:pPr>
        <w:tabs>
          <w:tab w:val="left" w:pos="-1440"/>
        </w:tabs>
        <w:rPr>
          <w:b/>
        </w:rPr>
      </w:pPr>
      <w:r w:rsidRPr="00ED5450">
        <w:t xml:space="preserve">(Victim’s) </w:t>
      </w:r>
      <w:r w:rsidRPr="00ED5450">
        <w:rPr>
          <w:b/>
        </w:rPr>
        <w:t>lack of chastity is not a defense to the crime charged.</w:t>
      </w:r>
    </w:p>
    <w:p w14:paraId="57536416" w14:textId="77777777" w:rsidR="00E54FFC" w:rsidRPr="00ED5450" w:rsidRDefault="00E54FFC" w:rsidP="00E54FFC">
      <w:pPr>
        <w:pStyle w:val="SJITextItalic"/>
      </w:pPr>
      <w:r w:rsidRPr="00ED5450">
        <w:t xml:space="preserve">§ 775.0862, Fla. Stat. </w:t>
      </w:r>
    </w:p>
    <w:p w14:paraId="3533940F" w14:textId="77777777" w:rsidR="00E54FFC" w:rsidRPr="00ED5450" w:rsidRDefault="00E54FFC" w:rsidP="00E54FFC">
      <w:pPr>
        <w:pStyle w:val="SJITextItalic"/>
      </w:pPr>
      <w:r w:rsidRPr="00ED5450">
        <w:t>Enhancement for sexual battery against student by school authority figure.</w:t>
      </w:r>
    </w:p>
    <w:p w14:paraId="16C3C4CA" w14:textId="77777777" w:rsidR="00E54FFC" w:rsidRPr="00ED5450" w:rsidRDefault="00E54FFC" w:rsidP="00E54FFC">
      <w:pPr>
        <w:tabs>
          <w:tab w:val="left" w:pos="-1440"/>
        </w:tabs>
        <w:rPr>
          <w:b/>
        </w:rPr>
      </w:pPr>
      <w:r w:rsidRPr="00ED5450">
        <w:rPr>
          <w:b/>
        </w:rPr>
        <w:t xml:space="preserve">If you find that </w:t>
      </w:r>
      <w:r w:rsidRPr="00ED5450">
        <w:t xml:space="preserve">(defendant) </w:t>
      </w:r>
      <w:r w:rsidRPr="00ED5450">
        <w:rPr>
          <w:b/>
        </w:rPr>
        <w:t xml:space="preserve">committed the crime of Sexual Battery, you must also determine whether the State has proved beyond a reasonable doubt that </w:t>
      </w:r>
      <w:r w:rsidRPr="00ED5450">
        <w:t xml:space="preserve">(defendant) </w:t>
      </w:r>
      <w:r w:rsidRPr="00ED5450">
        <w:rPr>
          <w:b/>
        </w:rPr>
        <w:t xml:space="preserve">was an authority figure at a school and </w:t>
      </w:r>
      <w:r w:rsidRPr="00ED5450">
        <w:t xml:space="preserve">(victim) </w:t>
      </w:r>
      <w:r w:rsidRPr="00ED5450">
        <w:rPr>
          <w:b/>
        </w:rPr>
        <w:t>was a student at the same school.</w:t>
      </w:r>
    </w:p>
    <w:p w14:paraId="6F613BD7" w14:textId="77777777" w:rsidR="00E54FFC" w:rsidRPr="00ED5450" w:rsidRDefault="00E54FFC" w:rsidP="00E54FFC">
      <w:pPr>
        <w:tabs>
          <w:tab w:val="left" w:pos="-1440"/>
        </w:tabs>
        <w:rPr>
          <w:b/>
        </w:rPr>
      </w:pPr>
      <w:r w:rsidRPr="00ED5450">
        <w:rPr>
          <w:b/>
        </w:rPr>
        <w:t>“Authority figure” means a person 18 years of age or older who is employed by, volunteering at, or under contract with a school.</w:t>
      </w:r>
    </w:p>
    <w:p w14:paraId="0041ABBC" w14:textId="77777777" w:rsidR="00E54FFC" w:rsidRPr="00ED5450" w:rsidRDefault="00E54FFC" w:rsidP="00E54FFC">
      <w:pPr>
        <w:tabs>
          <w:tab w:val="left" w:pos="-1440"/>
        </w:tabs>
        <w:rPr>
          <w:i/>
        </w:rPr>
      </w:pPr>
      <w:r w:rsidRPr="00ED5450">
        <w:rPr>
          <w:b/>
        </w:rPr>
        <w:t xml:space="preserve">“School” means an organization of students for instructional purposes on an elementary, middle or junior high school, secondary or high school, [or other public school level authorized under the rules of the State Board of Education]. The term “school” does not include facilities dedicated exclusively to the education of adults.  </w:t>
      </w:r>
      <w:r w:rsidRPr="00ED5450">
        <w:rPr>
          <w:i/>
        </w:rPr>
        <w:t>If needed, insert appropriate definitions from § 775.0862(1)(b), Fla. Stat. for “private school” or “voluntary prekindergarten education program” or “early learning program” or “public school as described in § 402.3025(1)” or “the Florida School for the Deaf and the Blind” or the “Florida Virtual School” or the “K-8 Virtual School.”</w:t>
      </w:r>
    </w:p>
    <w:p w14:paraId="7265EBE3" w14:textId="77777777" w:rsidR="00E54FFC" w:rsidRDefault="00E54FFC" w:rsidP="00E54FFC">
      <w:pPr>
        <w:tabs>
          <w:tab w:val="left" w:pos="-1440"/>
        </w:tabs>
        <w:rPr>
          <w:iCs/>
        </w:rPr>
      </w:pPr>
      <w:r w:rsidRPr="00ED5450">
        <w:rPr>
          <w:b/>
        </w:rPr>
        <w:t>“Student” means a person younger than 18 years of age who is enrolled at a school.</w:t>
      </w:r>
      <w:r w:rsidRPr="00ED5450">
        <w:rPr>
          <w:i/>
        </w:rPr>
        <w:t xml:space="preserve">  </w:t>
      </w:r>
    </w:p>
    <w:p w14:paraId="4B176431" w14:textId="77777777" w:rsidR="00541247" w:rsidRPr="00ED5450" w:rsidRDefault="00541247" w:rsidP="00541247">
      <w:pPr>
        <w:pStyle w:val="SJIComments"/>
      </w:pPr>
      <w:r w:rsidRPr="00ED5450">
        <w:t>Lesser-Included Offenses</w:t>
      </w:r>
    </w:p>
    <w:p w14:paraId="5B6B9646" w14:textId="77777777" w:rsidR="00541247" w:rsidRPr="00ED5450" w:rsidRDefault="00541247" w:rsidP="00541247">
      <w:pPr>
        <w:pStyle w:val="Heading4"/>
      </w:pPr>
      <w:bookmarkStart w:id="2" w:name="_Toc109650455"/>
      <w:r w:rsidRPr="00ED5450">
        <w:t>SEXUAL BATTERY — DEFENDANT 18 OR OVER; VICTIM 12–LESS THAN 18 — WITHOUT FORCE — 794.011(5)(</w:t>
      </w:r>
      <w:r w:rsidRPr="00ED5450">
        <w:rPr>
          <w:caps w:val="0"/>
        </w:rPr>
        <w:t>a</w:t>
      </w:r>
      <w:r w:rsidRPr="00ED5450">
        <w:t>)</w:t>
      </w:r>
      <w:bookmarkEnd w:id="2"/>
    </w:p>
    <w:tbl>
      <w:tblPr>
        <w:tblStyle w:val="TableGrid1"/>
        <w:tblW w:w="5000" w:type="pct"/>
        <w:tblLook w:val="0020" w:firstRow="1" w:lastRow="0" w:firstColumn="0" w:lastColumn="0" w:noHBand="0" w:noVBand="0"/>
      </w:tblPr>
      <w:tblGrid>
        <w:gridCol w:w="2154"/>
        <w:gridCol w:w="4140"/>
        <w:gridCol w:w="1801"/>
        <w:gridCol w:w="1255"/>
      </w:tblGrid>
      <w:tr w:rsidR="00541247" w:rsidRPr="00ED5450" w14:paraId="38312310" w14:textId="77777777" w:rsidTr="001A61AF">
        <w:trPr>
          <w:cnfStyle w:val="100000000000" w:firstRow="1" w:lastRow="0" w:firstColumn="0" w:lastColumn="0" w:oddVBand="0" w:evenVBand="0" w:oddHBand="0" w:evenHBand="0" w:firstRowFirstColumn="0" w:firstRowLastColumn="0" w:lastRowFirstColumn="0" w:lastRowLastColumn="0"/>
        </w:trPr>
        <w:tc>
          <w:tcPr>
            <w:tcW w:w="1152" w:type="pct"/>
          </w:tcPr>
          <w:p w14:paraId="4970D98A" w14:textId="77777777" w:rsidR="00541247" w:rsidRPr="00752B89" w:rsidRDefault="00541247" w:rsidP="00167F5C">
            <w:pPr>
              <w:pStyle w:val="SJITableText"/>
            </w:pPr>
            <w:r w:rsidRPr="00752B89">
              <w:t>CATEGORY ONE</w:t>
            </w:r>
          </w:p>
        </w:tc>
        <w:tc>
          <w:tcPr>
            <w:tcW w:w="2214" w:type="pct"/>
          </w:tcPr>
          <w:p w14:paraId="0956625F" w14:textId="77777777" w:rsidR="00541247" w:rsidRPr="00752B89" w:rsidRDefault="00541247" w:rsidP="00167F5C">
            <w:pPr>
              <w:pStyle w:val="SJITableText"/>
            </w:pPr>
            <w:r w:rsidRPr="00752B89">
              <w:t>CATEGORY TWO</w:t>
            </w:r>
          </w:p>
        </w:tc>
        <w:tc>
          <w:tcPr>
            <w:tcW w:w="963" w:type="pct"/>
          </w:tcPr>
          <w:p w14:paraId="520884D1" w14:textId="77777777" w:rsidR="00541247" w:rsidRPr="00752B89" w:rsidRDefault="00541247" w:rsidP="00167F5C">
            <w:pPr>
              <w:pStyle w:val="SJITableText"/>
            </w:pPr>
            <w:r w:rsidRPr="00752B89">
              <w:t>FLA. STAT.</w:t>
            </w:r>
          </w:p>
        </w:tc>
        <w:tc>
          <w:tcPr>
            <w:tcW w:w="671" w:type="pct"/>
          </w:tcPr>
          <w:p w14:paraId="2BDC2982" w14:textId="77777777" w:rsidR="00541247" w:rsidRPr="00752B89" w:rsidRDefault="00541247" w:rsidP="00167F5C">
            <w:pPr>
              <w:pStyle w:val="SJITableText"/>
            </w:pPr>
            <w:r w:rsidRPr="00752B89">
              <w:t>INS. NO.</w:t>
            </w:r>
          </w:p>
        </w:tc>
      </w:tr>
      <w:tr w:rsidR="00541247" w:rsidRPr="00ED5450" w14:paraId="7F7EF676" w14:textId="77777777" w:rsidTr="001A61AF">
        <w:tc>
          <w:tcPr>
            <w:tcW w:w="1152" w:type="pct"/>
          </w:tcPr>
          <w:p w14:paraId="501AF78D" w14:textId="77777777" w:rsidR="00541247" w:rsidRPr="00ED5450" w:rsidRDefault="00541247" w:rsidP="00167F5C">
            <w:pPr>
              <w:pStyle w:val="SJITableText"/>
            </w:pPr>
            <w:r w:rsidRPr="00ED5450">
              <w:t>Battery</w:t>
            </w:r>
          </w:p>
        </w:tc>
        <w:tc>
          <w:tcPr>
            <w:tcW w:w="2214" w:type="pct"/>
          </w:tcPr>
          <w:p w14:paraId="3597B4CA" w14:textId="77777777" w:rsidR="00541247" w:rsidRPr="00ED5450" w:rsidRDefault="00541247" w:rsidP="00167F5C">
            <w:pPr>
              <w:pStyle w:val="SJITableText"/>
            </w:pPr>
          </w:p>
        </w:tc>
        <w:tc>
          <w:tcPr>
            <w:tcW w:w="963" w:type="pct"/>
          </w:tcPr>
          <w:p w14:paraId="17FF77B0" w14:textId="77777777" w:rsidR="00541247" w:rsidRPr="00ED5450" w:rsidRDefault="00541247" w:rsidP="00167F5C">
            <w:pPr>
              <w:pStyle w:val="SJITableText"/>
            </w:pPr>
            <w:r w:rsidRPr="00ED5450">
              <w:t>784.03(1)(a)1.</w:t>
            </w:r>
          </w:p>
        </w:tc>
        <w:tc>
          <w:tcPr>
            <w:tcW w:w="671" w:type="pct"/>
          </w:tcPr>
          <w:p w14:paraId="3E9F474C" w14:textId="77777777" w:rsidR="00541247" w:rsidRPr="00ED5450" w:rsidRDefault="00541247" w:rsidP="00167F5C">
            <w:pPr>
              <w:pStyle w:val="SJITableText"/>
            </w:pPr>
            <w:r w:rsidRPr="00ED5450">
              <w:t>8.3</w:t>
            </w:r>
          </w:p>
        </w:tc>
      </w:tr>
      <w:tr w:rsidR="00541247" w:rsidRPr="00ED5450" w14:paraId="480F2254" w14:textId="77777777" w:rsidTr="001A61AF">
        <w:tc>
          <w:tcPr>
            <w:tcW w:w="1152" w:type="pct"/>
          </w:tcPr>
          <w:p w14:paraId="44C2147D" w14:textId="77777777" w:rsidR="00541247" w:rsidRPr="00ED5450" w:rsidRDefault="00541247" w:rsidP="00167F5C">
            <w:pPr>
              <w:pStyle w:val="SJITableText"/>
            </w:pPr>
          </w:p>
        </w:tc>
        <w:tc>
          <w:tcPr>
            <w:tcW w:w="2214" w:type="pct"/>
          </w:tcPr>
          <w:p w14:paraId="6498D08E" w14:textId="77777777" w:rsidR="00541247" w:rsidRPr="00ED5450" w:rsidRDefault="00541247" w:rsidP="00167F5C">
            <w:pPr>
              <w:pStyle w:val="SJITableText"/>
            </w:pPr>
            <w:r w:rsidRPr="00ED5450">
              <w:t>Sexual battery (Defendant 18 or older, victim 18 or older)</w:t>
            </w:r>
          </w:p>
        </w:tc>
        <w:tc>
          <w:tcPr>
            <w:tcW w:w="963" w:type="pct"/>
          </w:tcPr>
          <w:p w14:paraId="5585CCEC" w14:textId="77777777" w:rsidR="00541247" w:rsidRPr="00ED5450" w:rsidRDefault="00541247" w:rsidP="00167F5C">
            <w:pPr>
              <w:pStyle w:val="SJITableText"/>
            </w:pPr>
            <w:r w:rsidRPr="00ED5450">
              <w:t>794.011(5)(b)</w:t>
            </w:r>
          </w:p>
        </w:tc>
        <w:tc>
          <w:tcPr>
            <w:tcW w:w="671" w:type="pct"/>
          </w:tcPr>
          <w:p w14:paraId="091364D0" w14:textId="77777777" w:rsidR="00541247" w:rsidRPr="00ED5450" w:rsidRDefault="00541247" w:rsidP="00167F5C">
            <w:pPr>
              <w:pStyle w:val="SJITableText"/>
            </w:pPr>
            <w:r w:rsidRPr="00ED5450">
              <w:t>11.4</w:t>
            </w:r>
          </w:p>
        </w:tc>
      </w:tr>
      <w:tr w:rsidR="00541247" w:rsidRPr="00ED5450" w14:paraId="66A14520" w14:textId="77777777" w:rsidTr="001A61AF">
        <w:tc>
          <w:tcPr>
            <w:tcW w:w="1152" w:type="pct"/>
          </w:tcPr>
          <w:p w14:paraId="07A4D526" w14:textId="77777777" w:rsidR="00541247" w:rsidRPr="00ED5450" w:rsidRDefault="00541247" w:rsidP="00167F5C">
            <w:pPr>
              <w:pStyle w:val="SJITableText"/>
            </w:pPr>
          </w:p>
        </w:tc>
        <w:tc>
          <w:tcPr>
            <w:tcW w:w="2214" w:type="pct"/>
          </w:tcPr>
          <w:p w14:paraId="5991C41B" w14:textId="77777777" w:rsidR="00541247" w:rsidRPr="00ED5450" w:rsidRDefault="00541247" w:rsidP="00167F5C">
            <w:pPr>
              <w:pStyle w:val="SJITableText"/>
            </w:pPr>
            <w:r w:rsidRPr="00ED5450">
              <w:t>Sexual battery (Defendant younger than 18, victim 12 or older)</w:t>
            </w:r>
          </w:p>
        </w:tc>
        <w:tc>
          <w:tcPr>
            <w:tcW w:w="963" w:type="pct"/>
          </w:tcPr>
          <w:p w14:paraId="481D2D94" w14:textId="77777777" w:rsidR="00541247" w:rsidRPr="00ED5450" w:rsidRDefault="00541247" w:rsidP="00167F5C">
            <w:pPr>
              <w:pStyle w:val="SJITableText"/>
            </w:pPr>
            <w:r w:rsidRPr="00ED5450">
              <w:t>794.011(5)(c)</w:t>
            </w:r>
          </w:p>
        </w:tc>
        <w:tc>
          <w:tcPr>
            <w:tcW w:w="671" w:type="pct"/>
          </w:tcPr>
          <w:p w14:paraId="226A6494" w14:textId="77777777" w:rsidR="00541247" w:rsidRPr="00ED5450" w:rsidRDefault="00541247" w:rsidP="00167F5C">
            <w:pPr>
              <w:pStyle w:val="SJITableText"/>
            </w:pPr>
            <w:r w:rsidRPr="00ED5450">
              <w:t>11.4</w:t>
            </w:r>
          </w:p>
        </w:tc>
      </w:tr>
      <w:tr w:rsidR="00541247" w:rsidRPr="00ED5450" w14:paraId="2B38BC0C" w14:textId="77777777" w:rsidTr="001A61AF">
        <w:tc>
          <w:tcPr>
            <w:tcW w:w="1152" w:type="pct"/>
          </w:tcPr>
          <w:p w14:paraId="53E5C1C7" w14:textId="77777777" w:rsidR="00541247" w:rsidRPr="00ED5450" w:rsidRDefault="00541247" w:rsidP="00167F5C">
            <w:pPr>
              <w:pStyle w:val="SJITableText"/>
            </w:pPr>
          </w:p>
        </w:tc>
        <w:tc>
          <w:tcPr>
            <w:tcW w:w="2214" w:type="pct"/>
          </w:tcPr>
          <w:p w14:paraId="3047D160" w14:textId="77777777" w:rsidR="00541247" w:rsidRPr="00ED5450" w:rsidRDefault="00541247" w:rsidP="00167F5C">
            <w:pPr>
              <w:pStyle w:val="SJITableText"/>
            </w:pPr>
            <w:r w:rsidRPr="00ED5450">
              <w:t>Lewd or lascivious battery (Victim 12 or older but less than 16)</w:t>
            </w:r>
          </w:p>
        </w:tc>
        <w:tc>
          <w:tcPr>
            <w:tcW w:w="963" w:type="pct"/>
          </w:tcPr>
          <w:p w14:paraId="4E3820CC" w14:textId="77777777" w:rsidR="00541247" w:rsidRPr="00ED5450" w:rsidRDefault="00541247" w:rsidP="00167F5C">
            <w:pPr>
              <w:pStyle w:val="SJITableText"/>
            </w:pPr>
            <w:r w:rsidRPr="00ED5450">
              <w:t xml:space="preserve">800.04(4)(a)1. </w:t>
            </w:r>
          </w:p>
        </w:tc>
        <w:tc>
          <w:tcPr>
            <w:tcW w:w="671" w:type="pct"/>
          </w:tcPr>
          <w:p w14:paraId="26872F92" w14:textId="0DF7B41C" w:rsidR="00541247" w:rsidRPr="00ED5450" w:rsidRDefault="00541247" w:rsidP="001A61AF">
            <w:pPr>
              <w:pStyle w:val="SJITableText"/>
            </w:pPr>
            <w:r w:rsidRPr="00ED5450">
              <w:t>11.10(a)</w:t>
            </w:r>
          </w:p>
        </w:tc>
      </w:tr>
      <w:tr w:rsidR="00541247" w:rsidRPr="00ED5450" w14:paraId="58FF9692" w14:textId="77777777" w:rsidTr="001A61AF">
        <w:tc>
          <w:tcPr>
            <w:tcW w:w="1152" w:type="pct"/>
          </w:tcPr>
          <w:p w14:paraId="3A92E131" w14:textId="77777777" w:rsidR="00541247" w:rsidRPr="00ED5450" w:rsidRDefault="00541247" w:rsidP="00167F5C">
            <w:pPr>
              <w:pStyle w:val="SJITableText"/>
            </w:pPr>
          </w:p>
        </w:tc>
        <w:tc>
          <w:tcPr>
            <w:tcW w:w="2214" w:type="pct"/>
          </w:tcPr>
          <w:p w14:paraId="2FD5DD8F" w14:textId="77777777" w:rsidR="00541247" w:rsidRPr="00ED5450" w:rsidRDefault="00541247" w:rsidP="00167F5C">
            <w:pPr>
              <w:pStyle w:val="SJITableText"/>
            </w:pPr>
            <w:r w:rsidRPr="00ED5450">
              <w:t>Lewd or lascivious battery (Victim less than 16)*</w:t>
            </w:r>
          </w:p>
        </w:tc>
        <w:tc>
          <w:tcPr>
            <w:tcW w:w="963" w:type="pct"/>
          </w:tcPr>
          <w:p w14:paraId="3AA178BD" w14:textId="77777777" w:rsidR="00541247" w:rsidRPr="00ED5450" w:rsidRDefault="00541247" w:rsidP="00167F5C">
            <w:pPr>
              <w:pStyle w:val="SJITableText"/>
            </w:pPr>
            <w:r w:rsidRPr="00ED5450">
              <w:t>800.04(4)(a)2.*</w:t>
            </w:r>
          </w:p>
        </w:tc>
        <w:tc>
          <w:tcPr>
            <w:tcW w:w="671" w:type="pct"/>
          </w:tcPr>
          <w:p w14:paraId="5FA1B091" w14:textId="77777777" w:rsidR="00541247" w:rsidRPr="00ED5450" w:rsidRDefault="00541247" w:rsidP="00167F5C">
            <w:pPr>
              <w:pStyle w:val="SJITableText"/>
            </w:pPr>
            <w:r w:rsidRPr="00ED5450">
              <w:t>11.10(b)*</w:t>
            </w:r>
          </w:p>
        </w:tc>
      </w:tr>
      <w:tr w:rsidR="00541247" w:rsidRPr="00ED5450" w14:paraId="25378FA9" w14:textId="77777777" w:rsidTr="001A61AF">
        <w:tc>
          <w:tcPr>
            <w:tcW w:w="1152" w:type="pct"/>
          </w:tcPr>
          <w:p w14:paraId="60404E75" w14:textId="77777777" w:rsidR="00541247" w:rsidRPr="00ED5450" w:rsidRDefault="00541247" w:rsidP="00167F5C">
            <w:pPr>
              <w:pStyle w:val="SJITableText"/>
            </w:pPr>
          </w:p>
        </w:tc>
        <w:tc>
          <w:tcPr>
            <w:tcW w:w="2214" w:type="pct"/>
          </w:tcPr>
          <w:p w14:paraId="1E0EBC2B" w14:textId="77777777" w:rsidR="00541247" w:rsidRPr="00ED5450" w:rsidRDefault="00541247" w:rsidP="00167F5C">
            <w:pPr>
              <w:pStyle w:val="SJITableText"/>
            </w:pPr>
            <w:r w:rsidRPr="00ED5450">
              <w:t>Attempt</w:t>
            </w:r>
          </w:p>
        </w:tc>
        <w:tc>
          <w:tcPr>
            <w:tcW w:w="963" w:type="pct"/>
          </w:tcPr>
          <w:p w14:paraId="3655730C" w14:textId="77777777" w:rsidR="00541247" w:rsidRPr="00ED5450" w:rsidRDefault="00541247" w:rsidP="00167F5C">
            <w:pPr>
              <w:pStyle w:val="SJITableText"/>
            </w:pPr>
            <w:r w:rsidRPr="00ED5450">
              <w:t>777.04(1)</w:t>
            </w:r>
          </w:p>
        </w:tc>
        <w:tc>
          <w:tcPr>
            <w:tcW w:w="671" w:type="pct"/>
          </w:tcPr>
          <w:p w14:paraId="072B5A65" w14:textId="77777777" w:rsidR="00541247" w:rsidRPr="00ED5450" w:rsidRDefault="00541247" w:rsidP="00167F5C">
            <w:pPr>
              <w:pStyle w:val="SJITableText"/>
            </w:pPr>
            <w:r w:rsidRPr="00ED5450">
              <w:t>5.1</w:t>
            </w:r>
          </w:p>
        </w:tc>
      </w:tr>
      <w:tr w:rsidR="00541247" w:rsidRPr="00ED5450" w14:paraId="59F0BB88" w14:textId="77777777" w:rsidTr="001A61AF">
        <w:tc>
          <w:tcPr>
            <w:tcW w:w="1152" w:type="pct"/>
          </w:tcPr>
          <w:p w14:paraId="5F8F1E5C" w14:textId="77777777" w:rsidR="00541247" w:rsidRPr="00ED5450" w:rsidRDefault="00541247" w:rsidP="00167F5C">
            <w:pPr>
              <w:pStyle w:val="SJITableText"/>
            </w:pPr>
          </w:p>
        </w:tc>
        <w:tc>
          <w:tcPr>
            <w:tcW w:w="2214" w:type="pct"/>
          </w:tcPr>
          <w:p w14:paraId="108C92B5" w14:textId="77777777" w:rsidR="00541247" w:rsidRPr="00ED5450" w:rsidRDefault="00541247" w:rsidP="00167F5C">
            <w:pPr>
              <w:pStyle w:val="SJITableText"/>
            </w:pPr>
            <w:r w:rsidRPr="00ED5450">
              <w:t>Aggravated battery</w:t>
            </w:r>
          </w:p>
        </w:tc>
        <w:tc>
          <w:tcPr>
            <w:tcW w:w="963" w:type="pct"/>
          </w:tcPr>
          <w:p w14:paraId="7BE4D0B7" w14:textId="77777777" w:rsidR="00541247" w:rsidRPr="00ED5450" w:rsidRDefault="00541247" w:rsidP="00167F5C">
            <w:pPr>
              <w:pStyle w:val="SJITableText"/>
            </w:pPr>
            <w:r w:rsidRPr="00ED5450">
              <w:t>784.045(1)</w:t>
            </w:r>
          </w:p>
        </w:tc>
        <w:tc>
          <w:tcPr>
            <w:tcW w:w="671" w:type="pct"/>
          </w:tcPr>
          <w:p w14:paraId="1427E7B5" w14:textId="77777777" w:rsidR="00541247" w:rsidRPr="00ED5450" w:rsidRDefault="00541247" w:rsidP="00167F5C">
            <w:pPr>
              <w:pStyle w:val="SJITableText"/>
            </w:pPr>
            <w:r w:rsidRPr="00ED5450">
              <w:t>8.4</w:t>
            </w:r>
          </w:p>
        </w:tc>
      </w:tr>
      <w:tr w:rsidR="00541247" w:rsidRPr="00ED5450" w14:paraId="05A7FCFF" w14:textId="77777777" w:rsidTr="001A61AF">
        <w:tc>
          <w:tcPr>
            <w:tcW w:w="1152" w:type="pct"/>
          </w:tcPr>
          <w:p w14:paraId="035733C4" w14:textId="77777777" w:rsidR="00541247" w:rsidRPr="00ED5450" w:rsidRDefault="00541247" w:rsidP="00167F5C">
            <w:pPr>
              <w:pStyle w:val="SJITableText"/>
            </w:pPr>
          </w:p>
        </w:tc>
        <w:tc>
          <w:tcPr>
            <w:tcW w:w="2214" w:type="pct"/>
          </w:tcPr>
          <w:p w14:paraId="43699422" w14:textId="77777777" w:rsidR="00541247" w:rsidRPr="00ED5450" w:rsidRDefault="00541247" w:rsidP="00167F5C">
            <w:pPr>
              <w:pStyle w:val="SJITableText"/>
            </w:pPr>
            <w:r w:rsidRPr="00ED5450">
              <w:t>Felony battery</w:t>
            </w:r>
          </w:p>
        </w:tc>
        <w:tc>
          <w:tcPr>
            <w:tcW w:w="963" w:type="pct"/>
          </w:tcPr>
          <w:p w14:paraId="4464C374" w14:textId="77777777" w:rsidR="00541247" w:rsidRPr="00ED5450" w:rsidRDefault="00541247" w:rsidP="00167F5C">
            <w:pPr>
              <w:pStyle w:val="SJITableText"/>
            </w:pPr>
            <w:r w:rsidRPr="00ED5450">
              <w:t>784.041(1)</w:t>
            </w:r>
          </w:p>
        </w:tc>
        <w:tc>
          <w:tcPr>
            <w:tcW w:w="671" w:type="pct"/>
          </w:tcPr>
          <w:p w14:paraId="68AB1094" w14:textId="77777777" w:rsidR="00541247" w:rsidRPr="00ED5450" w:rsidRDefault="00541247" w:rsidP="00167F5C">
            <w:pPr>
              <w:pStyle w:val="SJITableText"/>
            </w:pPr>
            <w:r w:rsidRPr="00ED5450">
              <w:t>8.5</w:t>
            </w:r>
          </w:p>
        </w:tc>
      </w:tr>
      <w:tr w:rsidR="00541247" w:rsidRPr="00ED5450" w14:paraId="61C2CDF6" w14:textId="77777777" w:rsidTr="001A61AF">
        <w:tc>
          <w:tcPr>
            <w:tcW w:w="1152" w:type="pct"/>
          </w:tcPr>
          <w:p w14:paraId="18A18673" w14:textId="77777777" w:rsidR="00541247" w:rsidRPr="00ED5450" w:rsidRDefault="00541247" w:rsidP="00167F5C">
            <w:pPr>
              <w:pStyle w:val="SJITableText"/>
            </w:pPr>
          </w:p>
        </w:tc>
        <w:tc>
          <w:tcPr>
            <w:tcW w:w="2214" w:type="pct"/>
          </w:tcPr>
          <w:p w14:paraId="07AFAC05" w14:textId="77777777" w:rsidR="00541247" w:rsidRPr="00ED5450" w:rsidRDefault="00541247" w:rsidP="00167F5C">
            <w:pPr>
              <w:pStyle w:val="SJITableText"/>
            </w:pPr>
            <w:r w:rsidRPr="00ED5450">
              <w:t>Aggravated Assault</w:t>
            </w:r>
          </w:p>
        </w:tc>
        <w:tc>
          <w:tcPr>
            <w:tcW w:w="963" w:type="pct"/>
          </w:tcPr>
          <w:p w14:paraId="7966DECE" w14:textId="77777777" w:rsidR="00541247" w:rsidRPr="00ED5450" w:rsidRDefault="00541247" w:rsidP="00167F5C">
            <w:pPr>
              <w:pStyle w:val="SJITableText"/>
            </w:pPr>
            <w:r w:rsidRPr="00ED5450">
              <w:t>784.021(1)(a)</w:t>
            </w:r>
          </w:p>
        </w:tc>
        <w:tc>
          <w:tcPr>
            <w:tcW w:w="671" w:type="pct"/>
          </w:tcPr>
          <w:p w14:paraId="7A7E7E5E" w14:textId="77777777" w:rsidR="00541247" w:rsidRPr="00ED5450" w:rsidRDefault="00541247" w:rsidP="00167F5C">
            <w:pPr>
              <w:pStyle w:val="SJITableText"/>
            </w:pPr>
            <w:r w:rsidRPr="00ED5450">
              <w:t>8.2</w:t>
            </w:r>
          </w:p>
        </w:tc>
      </w:tr>
      <w:tr w:rsidR="00541247" w:rsidRPr="00ED5450" w14:paraId="51AEB5A8" w14:textId="77777777" w:rsidTr="001A61AF">
        <w:tc>
          <w:tcPr>
            <w:tcW w:w="1152" w:type="pct"/>
          </w:tcPr>
          <w:p w14:paraId="09645347" w14:textId="77777777" w:rsidR="00541247" w:rsidRPr="00ED5450" w:rsidRDefault="00541247" w:rsidP="00167F5C">
            <w:pPr>
              <w:pStyle w:val="SJITableText"/>
            </w:pPr>
          </w:p>
        </w:tc>
        <w:tc>
          <w:tcPr>
            <w:tcW w:w="2214" w:type="pct"/>
          </w:tcPr>
          <w:p w14:paraId="68DB7666" w14:textId="77777777" w:rsidR="00541247" w:rsidRPr="00ED5450" w:rsidRDefault="00541247" w:rsidP="00167F5C">
            <w:pPr>
              <w:pStyle w:val="SJITableText"/>
            </w:pPr>
            <w:r w:rsidRPr="00ED5450">
              <w:t>Battery</w:t>
            </w:r>
          </w:p>
        </w:tc>
        <w:tc>
          <w:tcPr>
            <w:tcW w:w="963" w:type="pct"/>
          </w:tcPr>
          <w:p w14:paraId="465A1C51" w14:textId="77777777" w:rsidR="00541247" w:rsidRPr="00ED5450" w:rsidRDefault="00541247" w:rsidP="00167F5C">
            <w:pPr>
              <w:pStyle w:val="SJITableText"/>
            </w:pPr>
            <w:r w:rsidRPr="00ED5450">
              <w:t>784.03(1)(a)2.</w:t>
            </w:r>
          </w:p>
        </w:tc>
        <w:tc>
          <w:tcPr>
            <w:tcW w:w="671" w:type="pct"/>
          </w:tcPr>
          <w:p w14:paraId="09FD3389" w14:textId="77777777" w:rsidR="00541247" w:rsidRPr="00ED5450" w:rsidRDefault="00541247" w:rsidP="00167F5C">
            <w:pPr>
              <w:pStyle w:val="SJITableText"/>
            </w:pPr>
            <w:r w:rsidRPr="00ED5450">
              <w:t>8.3</w:t>
            </w:r>
          </w:p>
        </w:tc>
      </w:tr>
      <w:tr w:rsidR="00541247" w:rsidRPr="00ED5450" w14:paraId="5582250C" w14:textId="77777777" w:rsidTr="001A61AF">
        <w:tc>
          <w:tcPr>
            <w:tcW w:w="1152" w:type="pct"/>
          </w:tcPr>
          <w:p w14:paraId="367BD249" w14:textId="77777777" w:rsidR="00541247" w:rsidRPr="00ED5450" w:rsidRDefault="00541247" w:rsidP="00167F5C">
            <w:pPr>
              <w:pStyle w:val="SJITableText"/>
            </w:pPr>
          </w:p>
        </w:tc>
        <w:tc>
          <w:tcPr>
            <w:tcW w:w="2214" w:type="pct"/>
          </w:tcPr>
          <w:p w14:paraId="473F15B5" w14:textId="77777777" w:rsidR="00541247" w:rsidRPr="00ED5450" w:rsidRDefault="00541247" w:rsidP="00167F5C">
            <w:pPr>
              <w:pStyle w:val="SJITableText"/>
            </w:pPr>
            <w:r w:rsidRPr="00ED5450">
              <w:t>Assault</w:t>
            </w:r>
          </w:p>
        </w:tc>
        <w:tc>
          <w:tcPr>
            <w:tcW w:w="963" w:type="pct"/>
          </w:tcPr>
          <w:p w14:paraId="5A309CC4" w14:textId="77777777" w:rsidR="00541247" w:rsidRPr="00ED5450" w:rsidRDefault="00541247" w:rsidP="00167F5C">
            <w:pPr>
              <w:pStyle w:val="SJITableText"/>
            </w:pPr>
            <w:r w:rsidRPr="00ED5450">
              <w:t>784.011</w:t>
            </w:r>
          </w:p>
        </w:tc>
        <w:tc>
          <w:tcPr>
            <w:tcW w:w="671" w:type="pct"/>
          </w:tcPr>
          <w:p w14:paraId="15FAE725" w14:textId="77777777" w:rsidR="00541247" w:rsidRPr="00ED5450" w:rsidRDefault="00541247" w:rsidP="00167F5C">
            <w:pPr>
              <w:pStyle w:val="SJITableText"/>
            </w:pPr>
            <w:r w:rsidRPr="00ED5450">
              <w:t>8.1</w:t>
            </w:r>
          </w:p>
        </w:tc>
      </w:tr>
    </w:tbl>
    <w:p w14:paraId="7CD41672" w14:textId="77777777" w:rsidR="00541247" w:rsidRPr="00ED5450" w:rsidRDefault="00541247" w:rsidP="00541247">
      <w:pPr>
        <w:pStyle w:val="SJIComments"/>
      </w:pPr>
      <w:r w:rsidRPr="00ED5450">
        <w:t>Comments</w:t>
      </w:r>
    </w:p>
    <w:p w14:paraId="6F6E127D" w14:textId="77777777" w:rsidR="00541247" w:rsidRDefault="00541247" w:rsidP="00541247">
      <w:pPr>
        <w:tabs>
          <w:tab w:val="left" w:pos="-1440"/>
        </w:tabs>
      </w:pPr>
      <w:r w:rsidRPr="00ED5450">
        <w:t xml:space="preserve">*It is unclear whether the “encouraging, forcing, or enticing any person less than 16 years of age to engage in … any other act involving sexual activity” part of Lewd or Lascivious Battery in § 800.04(4)(a)2., Fla. Stat., is a necessary lesser-included offense of § 794.011(5), Fla. Stat. If so, the judge should instruct only on “sexual activity” and not on “sadomasochistic abuse, sexual bestiality, or prostitution,” unless those acts are included in the charging document.   </w:t>
      </w:r>
    </w:p>
    <w:p w14:paraId="6FE967A1" w14:textId="77777777" w:rsidR="00D44236" w:rsidRPr="00AE291D" w:rsidRDefault="00D44236" w:rsidP="00D44236">
      <w:pPr>
        <w:spacing w:line="256" w:lineRule="auto"/>
      </w:pPr>
      <w:r w:rsidRPr="00AE291D">
        <w:t>*</w:t>
      </w:r>
      <w:r>
        <w:t>*</w:t>
      </w:r>
      <w:r w:rsidRPr="00AE291D">
        <w:t xml:space="preserve">Effective October 1, 2022, the Legislature changed “vagina” to “female genitals” in sex crimes-related statutes. Judges should ensure the jury instructions contain correct statutory terms, which will depend on the date alleged in the charging document. </w:t>
      </w:r>
      <w:r w:rsidRPr="00AE291D">
        <w:rPr>
          <w:i/>
          <w:iCs/>
        </w:rPr>
        <w:t xml:space="preserve">Flores v. State, </w:t>
      </w:r>
      <w:r w:rsidRPr="00AE291D">
        <w:t xml:space="preserve">-- So. 3d -- (Fla. 4th DCA 2024) is an example of an appellate court finding fundamental error when the trial judge expanded the definition of “vaginal penetration” by instructing on “female genital penetration.”  </w:t>
      </w:r>
    </w:p>
    <w:p w14:paraId="6CC84802" w14:textId="77777777" w:rsidR="00541247" w:rsidRPr="00C62CEB" w:rsidRDefault="00541247" w:rsidP="00541247">
      <w:bookmarkStart w:id="3" w:name="_Toc109650456"/>
      <w:r w:rsidRPr="00C62CEB">
        <w:t xml:space="preserve">If § 794.011(5)(d), Fla. Stat., is charged, this instruction can be used as a template with some amendments. Under that statute, the victim must be 12 years of age or older, the age of the defendant is irrelevant, and most of the alternatives regarding the prior conviction can probably be proven to the judge at a sentencing hearing. However, for an enhancement involving a prior conviction for a Kidnapping or False Imprisonment involving a minor, wherein the defendant committed a sexual battery or some enumerated lewd act upon the minor during the course of the kidnapping or false imprisonment, then </w:t>
      </w:r>
      <w:proofErr w:type="spellStart"/>
      <w:r w:rsidRPr="00C62CEB">
        <w:rPr>
          <w:i/>
          <w:iCs/>
        </w:rPr>
        <w:t>Apprendi</w:t>
      </w:r>
      <w:proofErr w:type="spellEnd"/>
      <w:r w:rsidRPr="00C62CEB">
        <w:rPr>
          <w:i/>
          <w:iCs/>
        </w:rPr>
        <w:t xml:space="preserve"> v. New Jersey</w:t>
      </w:r>
      <w:r w:rsidRPr="00C62CEB">
        <w:t>, 530 U.S. 466 (2000) is likely to require the jury to make certain findings regarding additional circumstances of the prior conviction.</w:t>
      </w:r>
      <w:bookmarkEnd w:id="3"/>
    </w:p>
    <w:p w14:paraId="5A7F65A4" w14:textId="77777777" w:rsidR="00541247" w:rsidRPr="00ED5450" w:rsidRDefault="00541247" w:rsidP="00541247">
      <w:r w:rsidRPr="00ED5450">
        <w:rPr>
          <w:i/>
          <w:iCs/>
        </w:rPr>
        <w:t>See</w:t>
      </w:r>
      <w:r w:rsidRPr="00ED5450">
        <w:t xml:space="preserve"> Instruction 11.16 or 11.16(a) if the State charged that the defendant qualified as a Dangerous Sexual Felony Offender, pursuant to § 794.0115, Fla. Stat.</w:t>
      </w:r>
    </w:p>
    <w:p w14:paraId="646B3A97" w14:textId="77777777" w:rsidR="00541247" w:rsidRPr="00F0396F" w:rsidRDefault="00541247" w:rsidP="00541247">
      <w:pPr>
        <w:suppressAutoHyphens/>
        <w:rPr>
          <w:rFonts w:cs="Bookman Old Style"/>
        </w:rPr>
      </w:pPr>
      <w:r>
        <w:t xml:space="preserve">In the event multiple perpetrators is charged and proven, a special instruction is </w:t>
      </w:r>
      <w:r w:rsidRPr="00F0396F">
        <w:t xml:space="preserve">necessary. </w:t>
      </w:r>
      <w:r w:rsidRPr="00F0396F">
        <w:rPr>
          <w:i/>
          <w:iCs/>
        </w:rPr>
        <w:t>See</w:t>
      </w:r>
      <w:r w:rsidRPr="00F0396F">
        <w:t xml:space="preserve"> </w:t>
      </w:r>
      <w:r w:rsidRPr="00F0396F">
        <w:rPr>
          <w:rFonts w:cs="Bookman Old Style"/>
        </w:rPr>
        <w:t>§ 794.023, Fla. Stat.</w:t>
      </w:r>
    </w:p>
    <w:p w14:paraId="3346022A" w14:textId="39DA5DFD" w:rsidR="00AA3E19" w:rsidRDefault="006F113E" w:rsidP="00AA3E19">
      <w:bookmarkStart w:id="4" w:name="_Hlk116292153"/>
      <w:r w:rsidRPr="00F0396F">
        <w:t xml:space="preserve">As of </w:t>
      </w:r>
      <w:r w:rsidR="00F0396F" w:rsidRPr="00F0396F">
        <w:t>November</w:t>
      </w:r>
      <w:r w:rsidRPr="00F0396F">
        <w:t xml:space="preserve"> 2022, it was unclear whether acts done for bona fide medical purposes should be treated as an affirmative defense or </w:t>
      </w:r>
      <w:r w:rsidR="00F0396F" w:rsidRPr="00F0396F">
        <w:t>as</w:t>
      </w:r>
      <w:r w:rsidRPr="00F0396F">
        <w:t xml:space="preserve"> an element that the State must disprove. If treated as an affirmative defense, the judge must then determine who has the burden of persuasion and what that burden is (preponderance, clear and convincing, or beyond a reasonable doubt). </w:t>
      </w:r>
      <w:bookmarkEnd w:id="4"/>
    </w:p>
    <w:p w14:paraId="6A4F37EE" w14:textId="76C9B587" w:rsidR="00541247" w:rsidRPr="00F0396F" w:rsidRDefault="00541247" w:rsidP="00AA3E19">
      <w:r w:rsidRPr="00ED5450">
        <w:t xml:space="preserve">This instruction was adopted in 1981 and was amended in 1987 [508 So. 2d 1221], 1995 [657 So. 2d 1152], 2003 [850 So. 2d 1272], 2015 [156 So. 3d 1037], 2016 [190 So. 3d 1055], on November 20, </w:t>
      </w:r>
      <w:r w:rsidRPr="006F113E">
        <w:t xml:space="preserve">2020, on December 15, </w:t>
      </w:r>
      <w:r w:rsidRPr="00F0396F">
        <w:t>2021</w:t>
      </w:r>
      <w:r w:rsidR="00675194" w:rsidRPr="00F0396F">
        <w:t xml:space="preserve">, </w:t>
      </w:r>
      <w:r w:rsidR="00410513" w:rsidRPr="00F0396F">
        <w:t xml:space="preserve">and </w:t>
      </w:r>
      <w:r w:rsidR="00675194" w:rsidRPr="00F0396F">
        <w:t xml:space="preserve">on </w:t>
      </w:r>
      <w:r w:rsidR="00F0396F" w:rsidRPr="00F0396F">
        <w:t>December 21</w:t>
      </w:r>
      <w:r w:rsidR="00675194" w:rsidRPr="00F0396F">
        <w:t>,</w:t>
      </w:r>
      <w:r w:rsidR="00F0396F" w:rsidRPr="00F0396F">
        <w:t xml:space="preserve"> 2</w:t>
      </w:r>
      <w:r w:rsidR="00410513" w:rsidRPr="00F0396F">
        <w:t>022.</w:t>
      </w:r>
    </w:p>
    <w:p w14:paraId="7C218F4A" w14:textId="77777777" w:rsidR="009435D1" w:rsidRPr="00F0396F" w:rsidRDefault="009435D1"/>
    <w:sectPr w:rsidR="009435D1" w:rsidRPr="00F039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4E5A4682"/>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D5F4B462"/>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45244979">
    <w:abstractNumId w:val="1"/>
  </w:num>
  <w:num w:numId="2" w16cid:durableId="547376496">
    <w:abstractNumId w:val="0"/>
  </w:num>
  <w:num w:numId="3" w16cid:durableId="506797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FFC"/>
    <w:rsid w:val="001223B2"/>
    <w:rsid w:val="00167F5C"/>
    <w:rsid w:val="001A61AF"/>
    <w:rsid w:val="00276059"/>
    <w:rsid w:val="003C74CF"/>
    <w:rsid w:val="003E05DE"/>
    <w:rsid w:val="00410513"/>
    <w:rsid w:val="004863D0"/>
    <w:rsid w:val="00541247"/>
    <w:rsid w:val="00541A96"/>
    <w:rsid w:val="005B063D"/>
    <w:rsid w:val="005F4E5D"/>
    <w:rsid w:val="00675194"/>
    <w:rsid w:val="0069559C"/>
    <w:rsid w:val="006F113E"/>
    <w:rsid w:val="00720CCD"/>
    <w:rsid w:val="007349D8"/>
    <w:rsid w:val="00752B89"/>
    <w:rsid w:val="007D1EBA"/>
    <w:rsid w:val="008648AE"/>
    <w:rsid w:val="008B4268"/>
    <w:rsid w:val="008F2E68"/>
    <w:rsid w:val="009435D1"/>
    <w:rsid w:val="00A150FF"/>
    <w:rsid w:val="00AA3E19"/>
    <w:rsid w:val="00AD5B0B"/>
    <w:rsid w:val="00B969AE"/>
    <w:rsid w:val="00C62CEB"/>
    <w:rsid w:val="00CA473C"/>
    <w:rsid w:val="00D061BE"/>
    <w:rsid w:val="00D44236"/>
    <w:rsid w:val="00DE0567"/>
    <w:rsid w:val="00E54FFC"/>
    <w:rsid w:val="00ED5450"/>
    <w:rsid w:val="00EE4C02"/>
    <w:rsid w:val="00F0396F"/>
    <w:rsid w:val="00FC1B7D"/>
    <w:rsid w:val="681C0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66285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FFC"/>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E54FFC"/>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E54FFC"/>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E54FFC"/>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E54FFC"/>
    <w:pPr>
      <w:outlineLvl w:val="3"/>
    </w:pPr>
  </w:style>
  <w:style w:type="paragraph" w:styleId="Heading5">
    <w:name w:val="heading 5"/>
    <w:basedOn w:val="Normal"/>
    <w:next w:val="Normal"/>
    <w:link w:val="Heading5Char"/>
    <w:uiPriority w:val="9"/>
    <w:qFormat/>
    <w:rsid w:val="00E54FFC"/>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E54FFC"/>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E54FFC"/>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E54FFC"/>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E54FFC"/>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54FFC"/>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E54FFC"/>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E54FFC"/>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E54FFC"/>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E54FFC"/>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E54FFC"/>
    <w:rPr>
      <w:rFonts w:ascii="Times New Roman" w:hAnsi="Times New Roman" w:cs="Times New Roman"/>
      <w:b/>
      <w:bCs/>
    </w:rPr>
  </w:style>
  <w:style w:type="character" w:customStyle="1" w:styleId="Heading7Char">
    <w:name w:val="Heading 7 Char"/>
    <w:basedOn w:val="DefaultParagraphFont"/>
    <w:link w:val="Heading7"/>
    <w:uiPriority w:val="9"/>
    <w:locked/>
    <w:rsid w:val="00E54FFC"/>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E54FFC"/>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E54FFC"/>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E54FFC"/>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E54FFC"/>
    <w:pPr>
      <w:tabs>
        <w:tab w:val="left" w:pos="720"/>
      </w:tabs>
      <w:suppressAutoHyphens/>
      <w:spacing w:after="0"/>
    </w:pPr>
    <w:rPr>
      <w:rFonts w:cs="Times New Roman"/>
      <w:i/>
      <w:iCs/>
      <w:szCs w:val="24"/>
    </w:rPr>
  </w:style>
  <w:style w:type="paragraph" w:customStyle="1" w:styleId="SJIlist1">
    <w:name w:val="SJI list 1"/>
    <w:basedOn w:val="Normal"/>
    <w:qFormat/>
    <w:rsid w:val="00E54FFC"/>
    <w:pPr>
      <w:widowControl w:val="0"/>
      <w:autoSpaceDE w:val="0"/>
      <w:autoSpaceDN w:val="0"/>
      <w:adjustRightInd w:val="0"/>
      <w:ind w:left="1296" w:hanging="576"/>
    </w:pPr>
    <w:rPr>
      <w:rFonts w:cs="Times New Roman"/>
    </w:rPr>
  </w:style>
  <w:style w:type="character" w:customStyle="1" w:styleId="SJIBold">
    <w:name w:val="SJI Bold"/>
    <w:uiPriority w:val="1"/>
    <w:qFormat/>
    <w:rsid w:val="00E54FFC"/>
    <w:rPr>
      <w:b/>
    </w:rPr>
  </w:style>
  <w:style w:type="paragraph" w:customStyle="1" w:styleId="SJIText">
    <w:name w:val="SJI Text"/>
    <w:basedOn w:val="Normal"/>
    <w:next w:val="Normal"/>
    <w:qFormat/>
    <w:rsid w:val="00E54FFC"/>
    <w:rPr>
      <w:rFonts w:cs="Times New Roman"/>
    </w:rPr>
  </w:style>
  <w:style w:type="paragraph" w:customStyle="1" w:styleId="SJITableText">
    <w:name w:val="SJI Table Text"/>
    <w:basedOn w:val="Normal"/>
    <w:qFormat/>
    <w:rsid w:val="00E54FFC"/>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E54FFC"/>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Comments">
    <w:name w:val="SJI Comments"/>
    <w:basedOn w:val="Normal"/>
    <w:qFormat/>
    <w:rsid w:val="00E54FFC"/>
    <w:pPr>
      <w:spacing w:before="220"/>
      <w:ind w:firstLine="0"/>
      <w:jc w:val="center"/>
    </w:pPr>
    <w:rPr>
      <w:rFonts w:cs="Courier New"/>
      <w:b/>
    </w:rPr>
  </w:style>
  <w:style w:type="paragraph" w:customStyle="1" w:styleId="SJIInstructionlist1">
    <w:name w:val="SJI Instruction list 1"/>
    <w:basedOn w:val="Normal"/>
    <w:qFormat/>
    <w:rsid w:val="00E54FFC"/>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E54FFC"/>
    <w:pPr>
      <w:numPr>
        <w:numId w:val="3"/>
      </w:numPr>
    </w:pPr>
    <w:rPr>
      <w:rFonts w:cs="Times New Roman"/>
    </w:rPr>
  </w:style>
  <w:style w:type="paragraph" w:styleId="ListParagraph">
    <w:name w:val="List Paragraph"/>
    <w:basedOn w:val="Normal"/>
    <w:uiPriority w:val="34"/>
    <w:qFormat/>
    <w:rsid w:val="00E54FFC"/>
    <w:pPr>
      <w:ind w:left="720"/>
    </w:pPr>
  </w:style>
  <w:style w:type="paragraph" w:customStyle="1" w:styleId="SJITableNotation">
    <w:name w:val="SJI Table Notation"/>
    <w:basedOn w:val="SJITableText"/>
    <w:qFormat/>
    <w:rsid w:val="00E54FFC"/>
    <w:pPr>
      <w:spacing w:before="120" w:after="240"/>
    </w:pPr>
  </w:style>
  <w:style w:type="character" w:customStyle="1" w:styleId="SJIUnderline">
    <w:name w:val="SJI Underline"/>
    <w:uiPriority w:val="1"/>
    <w:qFormat/>
    <w:rsid w:val="00E54FFC"/>
    <w:rPr>
      <w:rFonts w:ascii="Times New Roman" w:hAnsi="Times New Roman"/>
      <w:sz w:val="28"/>
      <w:u w:val="single"/>
    </w:rPr>
  </w:style>
  <w:style w:type="paragraph" w:styleId="Caption">
    <w:name w:val="caption"/>
    <w:basedOn w:val="Normal"/>
    <w:next w:val="Normal"/>
    <w:uiPriority w:val="35"/>
    <w:semiHidden/>
    <w:unhideWhenUsed/>
    <w:qFormat/>
    <w:rsid w:val="00E54FFC"/>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E54FFC"/>
    <w:pPr>
      <w:jc w:val="center"/>
    </w:pPr>
    <w:rPr>
      <w:rFonts w:cs="Times New Roman"/>
      <w:b/>
      <w:bCs/>
      <w:sz w:val="28"/>
      <w:szCs w:val="28"/>
    </w:rPr>
  </w:style>
  <w:style w:type="character" w:customStyle="1" w:styleId="TitleChar">
    <w:name w:val="Title Char"/>
    <w:basedOn w:val="DefaultParagraphFont"/>
    <w:link w:val="Title"/>
    <w:uiPriority w:val="10"/>
    <w:locked/>
    <w:rsid w:val="00E54FFC"/>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E54FFC"/>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E54FFC"/>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E54FFC"/>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E54FFC"/>
    <w:rPr>
      <w:rFonts w:ascii="Bookman Old Style" w:hAnsi="Bookman Old Style" w:cs="Times New Roman"/>
      <w:color w:val="000000"/>
    </w:rPr>
  </w:style>
  <w:style w:type="paragraph" w:styleId="Quote">
    <w:name w:val="Quote"/>
    <w:basedOn w:val="Normal"/>
    <w:next w:val="Normal"/>
    <w:link w:val="QuoteChar"/>
    <w:uiPriority w:val="29"/>
    <w:qFormat/>
    <w:rsid w:val="00E54FFC"/>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E54FFC"/>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E54FFC"/>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E54FFC"/>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E54FFC"/>
    <w:pPr>
      <w:outlineLvl w:val="9"/>
    </w:pPr>
    <w:rPr>
      <w:b w:val="0"/>
      <w:caps w:val="0"/>
      <w:sz w:val="32"/>
    </w:rPr>
  </w:style>
  <w:style w:type="table" w:customStyle="1" w:styleId="TableGrid1">
    <w:name w:val="Table Grid1"/>
    <w:basedOn w:val="TableNormal"/>
    <w:next w:val="TableGrid"/>
    <w:uiPriority w:val="99"/>
    <w:rsid w:val="00541247"/>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541247"/>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1180</Words>
  <Characters>6215</Characters>
  <Application>Microsoft Office Word</Application>
  <DocSecurity>0</DocSecurity>
  <Lines>51</Lines>
  <Paragraphs>14</Paragraphs>
  <ScaleCrop>false</ScaleCrop>
  <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2024-09-23T19:47:00Z</dcterms:created>
  <dcterms:modified xsi:type="dcterms:W3CDTF">2024-09-24T19:00:00Z</dcterms:modified>
</cp:coreProperties>
</file>