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334FF" w14:textId="749CD6DB" w:rsidR="00072379" w:rsidRPr="008F3876" w:rsidRDefault="00072379" w:rsidP="00072379">
      <w:pPr>
        <w:pStyle w:val="Heading3"/>
      </w:pPr>
      <w:r w:rsidRPr="008F3876">
        <w:t>11.27 SEXUAL MISCONDUCT BY A</w:t>
      </w:r>
      <w:r>
        <w:rPr>
          <w:u w:val="single"/>
        </w:rPr>
        <w:t>[</w:t>
      </w:r>
      <w:r w:rsidRPr="007846BA">
        <w:t xml:space="preserve">n] [insert appropriate position of the defendant] </w:t>
      </w:r>
      <w:r w:rsidRPr="008F3876">
        <w:t>UPON AN [INMATE] [OFFENDER]</w:t>
      </w:r>
    </w:p>
    <w:p w14:paraId="0B64ED70" w14:textId="26D55209" w:rsidR="00072379" w:rsidRPr="00CB655D" w:rsidRDefault="00072379" w:rsidP="00072379">
      <w:pPr>
        <w:pStyle w:val="SJIStatuteinTitle"/>
        <w:rPr>
          <w:u w:val="single"/>
        </w:rPr>
      </w:pPr>
      <w:r w:rsidRPr="008F3876">
        <w:t>§ 944.35(3)(b)2., Fla. Stat.</w:t>
      </w:r>
      <w:r w:rsidR="00CB655D" w:rsidRPr="00E51191">
        <w:t>*</w:t>
      </w:r>
    </w:p>
    <w:p w14:paraId="39F58A26" w14:textId="77777777" w:rsidR="00072379" w:rsidRPr="008F3876" w:rsidRDefault="00072379" w:rsidP="00072379">
      <w:pPr>
        <w:rPr>
          <w:b/>
          <w:bCs/>
        </w:rPr>
      </w:pPr>
      <w:r w:rsidRPr="008F3876">
        <w:rPr>
          <w:b/>
          <w:bCs/>
        </w:rPr>
        <w:t xml:space="preserve">To prove the crime of Sexual Misconduct by </w:t>
      </w:r>
      <w:r w:rsidRPr="007846BA">
        <w:rPr>
          <w:b/>
          <w:bCs/>
        </w:rPr>
        <w:t xml:space="preserve">a[n] </w:t>
      </w:r>
      <w:r w:rsidRPr="007846BA">
        <w:t>(insert appropriate position of the defendant)</w:t>
      </w:r>
      <w:r w:rsidRPr="00F6584D">
        <w:t xml:space="preserve"> </w:t>
      </w:r>
      <w:r w:rsidRPr="008F3876">
        <w:rPr>
          <w:b/>
          <w:bCs/>
        </w:rPr>
        <w:t>upon an [Inmate] [Offender], the State must prove the following three elements beyond a reasonable doubt:</w:t>
      </w:r>
    </w:p>
    <w:p w14:paraId="1BC1B0F1" w14:textId="77777777" w:rsidR="00072379" w:rsidRPr="008F3876" w:rsidRDefault="00072379" w:rsidP="00072379">
      <w:pPr>
        <w:numPr>
          <w:ilvl w:val="0"/>
          <w:numId w:val="5"/>
        </w:numPr>
        <w:ind w:left="1296" w:hanging="576"/>
      </w:pPr>
      <w:r w:rsidRPr="008F3876">
        <w:t xml:space="preserve">(Defendant) </w:t>
      </w:r>
      <w:r w:rsidRPr="008F3876">
        <w:rPr>
          <w:b/>
          <w:bCs/>
        </w:rPr>
        <w:t>engaged in sexual misconduct with</w:t>
      </w:r>
      <w:r w:rsidRPr="008F3876">
        <w:t xml:space="preserve"> (victim). </w:t>
      </w:r>
    </w:p>
    <w:p w14:paraId="70ADDEEC" w14:textId="77777777" w:rsidR="00072379" w:rsidRPr="008F3876" w:rsidRDefault="00072379" w:rsidP="00072379">
      <w:pPr>
        <w:numPr>
          <w:ilvl w:val="0"/>
          <w:numId w:val="5"/>
        </w:numPr>
        <w:ind w:left="1296" w:hanging="576"/>
      </w:pPr>
      <w:r w:rsidRPr="008F3876">
        <w:rPr>
          <w:b/>
          <w:bCs/>
        </w:rPr>
        <w:t>At the time,</w:t>
      </w:r>
      <w:r w:rsidRPr="008F3876">
        <w:t xml:space="preserve"> (defendant) </w:t>
      </w:r>
      <w:r w:rsidRPr="008F3876">
        <w:rPr>
          <w:b/>
          <w:bCs/>
        </w:rPr>
        <w:t xml:space="preserve">was </w:t>
      </w:r>
      <w:r w:rsidRPr="001808E6">
        <w:rPr>
          <w:b/>
          <w:bCs/>
        </w:rPr>
        <w:t>a</w:t>
      </w:r>
      <w:r w:rsidRPr="007846BA">
        <w:rPr>
          <w:b/>
          <w:bCs/>
        </w:rPr>
        <w:t>[n]</w:t>
      </w:r>
      <w:r w:rsidRPr="007846BA">
        <w:t xml:space="preserve"> (insert appropriate position of the defendant)</w:t>
      </w:r>
      <w:r w:rsidRPr="007846BA">
        <w:rPr>
          <w:b/>
          <w:bCs/>
        </w:rPr>
        <w:t>.</w:t>
      </w:r>
      <w:r w:rsidRPr="007846BA">
        <w:t xml:space="preserve"> </w:t>
      </w:r>
    </w:p>
    <w:p w14:paraId="594DE79D" w14:textId="77777777" w:rsidR="00072379" w:rsidRPr="008F3876" w:rsidRDefault="00072379" w:rsidP="00072379">
      <w:pPr>
        <w:numPr>
          <w:ilvl w:val="0"/>
          <w:numId w:val="5"/>
        </w:numPr>
        <w:ind w:left="1296" w:hanging="576"/>
      </w:pPr>
      <w:r w:rsidRPr="008F3876">
        <w:rPr>
          <w:b/>
          <w:bCs/>
        </w:rPr>
        <w:t>At the time,</w:t>
      </w:r>
      <w:r w:rsidRPr="008F3876">
        <w:t xml:space="preserve"> (victim) </w:t>
      </w:r>
      <w:r w:rsidRPr="008F3876">
        <w:rPr>
          <w:b/>
          <w:bCs/>
        </w:rPr>
        <w:t>was an [inmate] [offender supervised in the community by the Florida Department of Corrections].</w:t>
      </w:r>
      <w:r w:rsidRPr="008F3876">
        <w:t xml:space="preserve"> </w:t>
      </w:r>
    </w:p>
    <w:p w14:paraId="1CBB50D2" w14:textId="77777777" w:rsidR="00072379" w:rsidRPr="008F3876" w:rsidRDefault="00072379" w:rsidP="00072379">
      <w:pPr>
        <w:pStyle w:val="SJITextItalic"/>
      </w:pPr>
      <w:r w:rsidRPr="008F3876">
        <w:t>§ 944.35, Fla. Stat.</w:t>
      </w:r>
    </w:p>
    <w:p w14:paraId="59185983" w14:textId="09BDA954" w:rsidR="00072379" w:rsidRPr="008F3876" w:rsidRDefault="00072379" w:rsidP="00072379">
      <w:pPr>
        <w:rPr>
          <w:b/>
          <w:bCs/>
        </w:rPr>
      </w:pPr>
      <w:r w:rsidRPr="008F3876">
        <w:rPr>
          <w:b/>
          <w:bCs/>
        </w:rPr>
        <w:t>“Sexual misconduct” means the oral, anal, or female genital</w:t>
      </w:r>
      <w:r w:rsidR="00E51191">
        <w:rPr>
          <w:b/>
          <w:bCs/>
        </w:rPr>
        <w:t>*</w:t>
      </w:r>
      <w:r w:rsidRPr="008F3876">
        <w:rPr>
          <w:b/>
          <w:bCs/>
        </w:rPr>
        <w:t xml:space="preserve"> penetration by, or union with, the sexual organ of another or the anal or female genital penetration of another by any other object. “Female genitals” includes the labia minora, labia majora, clitoris, vulva, hymen, and vagina.</w:t>
      </w:r>
    </w:p>
    <w:p w14:paraId="162ECC89" w14:textId="77777777" w:rsidR="00072379" w:rsidRPr="008F3876" w:rsidRDefault="00072379" w:rsidP="00072379">
      <w:pPr>
        <w:pStyle w:val="SJITextItalic"/>
      </w:pPr>
      <w:proofErr w:type="spellStart"/>
      <w:r w:rsidRPr="008F3876">
        <w:t>Lakey</w:t>
      </w:r>
      <w:proofErr w:type="spellEnd"/>
      <w:r w:rsidRPr="008F3876">
        <w:t xml:space="preserve"> v. State, 113 So. 3d 90 (Fla. 5th DCA 2013).</w:t>
      </w:r>
    </w:p>
    <w:p w14:paraId="1C69645C" w14:textId="77777777" w:rsidR="00072379" w:rsidRPr="008F3876" w:rsidRDefault="00072379" w:rsidP="00072379">
      <w:pPr>
        <w:rPr>
          <w:b/>
          <w:bCs/>
        </w:rPr>
      </w:pPr>
      <w:r w:rsidRPr="008F3876">
        <w:rPr>
          <w:b/>
          <w:bCs/>
        </w:rPr>
        <w:t xml:space="preserve">“An object” includes a finger. </w:t>
      </w:r>
    </w:p>
    <w:p w14:paraId="123BE6EE" w14:textId="77777777" w:rsidR="00072379" w:rsidRPr="008F3876" w:rsidRDefault="00072379" w:rsidP="00072379">
      <w:pPr>
        <w:pStyle w:val="SJITextItalic"/>
      </w:pPr>
      <w:r w:rsidRPr="008F3876">
        <w:t xml:space="preserve">Phillips v. State, 238 So. 3d 308 (Fla. 4th DCA 2018). </w:t>
      </w:r>
    </w:p>
    <w:p w14:paraId="1F16F335" w14:textId="77777777" w:rsidR="00072379" w:rsidRPr="008F3876" w:rsidRDefault="00072379" w:rsidP="00072379">
      <w:pPr>
        <w:rPr>
          <w:b/>
          <w:bCs/>
        </w:rPr>
      </w:pPr>
      <w:r w:rsidRPr="008F3876">
        <w:rPr>
          <w:b/>
          <w:bCs/>
        </w:rPr>
        <w:t>“Union” means contact.</w:t>
      </w:r>
    </w:p>
    <w:p w14:paraId="4E7CFB50" w14:textId="77777777" w:rsidR="00072379" w:rsidRPr="008F3876" w:rsidRDefault="00072379" w:rsidP="00072379">
      <w:pPr>
        <w:pStyle w:val="SJITextItalic"/>
      </w:pPr>
      <w:r w:rsidRPr="008F3876">
        <w:t>§ 944.35, Fla. Stat.</w:t>
      </w:r>
    </w:p>
    <w:p w14:paraId="2BC21BB5" w14:textId="77777777" w:rsidR="00072379" w:rsidRPr="008F3876" w:rsidRDefault="00072379" w:rsidP="00072379">
      <w:pPr>
        <w:rPr>
          <w:b/>
          <w:bCs/>
        </w:rPr>
      </w:pPr>
      <w:r w:rsidRPr="008F3876">
        <w:rPr>
          <w:b/>
          <w:bCs/>
        </w:rPr>
        <w:t>The consent of the [inmate] [offender] to any act of sexual misconduct is not a defense.</w:t>
      </w:r>
    </w:p>
    <w:p w14:paraId="50ADBAF5" w14:textId="77777777" w:rsidR="00072379" w:rsidRPr="008F3876" w:rsidRDefault="00072379" w:rsidP="00072379">
      <w:pPr>
        <w:pStyle w:val="SJITextItalic"/>
      </w:pPr>
      <w:r w:rsidRPr="008F3876">
        <w:t xml:space="preserve">Give </w:t>
      </w:r>
      <w:r>
        <w:t xml:space="preserve">the following instructions </w:t>
      </w:r>
      <w:r w:rsidRPr="008F3876">
        <w:t xml:space="preserve">only if applicable. </w:t>
      </w:r>
    </w:p>
    <w:p w14:paraId="33EA186E" w14:textId="77777777" w:rsidR="00072379" w:rsidRPr="008F3876" w:rsidRDefault="00072379" w:rsidP="00072379">
      <w:pPr>
        <w:rPr>
          <w:b/>
          <w:bCs/>
        </w:rPr>
      </w:pPr>
      <w:r w:rsidRPr="008F3876">
        <w:rPr>
          <w:b/>
          <w:bCs/>
        </w:rPr>
        <w:t>“Sexual misconduct” does not include an act done for a bona fide medical purpose. “Bona fide” means genuine.</w:t>
      </w:r>
    </w:p>
    <w:p w14:paraId="36B7FC1E" w14:textId="77777777" w:rsidR="00072379" w:rsidRDefault="00072379" w:rsidP="00072379">
      <w:pPr>
        <w:rPr>
          <w:b/>
          <w:bCs/>
        </w:rPr>
      </w:pPr>
      <w:r w:rsidRPr="008F3876">
        <w:rPr>
          <w:b/>
          <w:bCs/>
        </w:rPr>
        <w:t>“Sexual misconduct” does not include an act done for an internal search conducted in the lawful performance of the employee’s duty.</w:t>
      </w:r>
    </w:p>
    <w:p w14:paraId="4B4FE1AA" w14:textId="77777777" w:rsidR="00072379" w:rsidRPr="00521B55" w:rsidRDefault="00072379" w:rsidP="00072379">
      <w:pPr>
        <w:pStyle w:val="SJITextItalic"/>
      </w:pPr>
      <w:r w:rsidRPr="00521B55">
        <w:t>§ 944.710, Fla. Stat.</w:t>
      </w:r>
    </w:p>
    <w:p w14:paraId="52911DA2" w14:textId="4C15A5B3" w:rsidR="00072379" w:rsidRPr="00521B55" w:rsidRDefault="00072379" w:rsidP="00072379">
      <w:pPr>
        <w:rPr>
          <w:b/>
          <w:bCs/>
        </w:rPr>
      </w:pPr>
      <w:r w:rsidRPr="00521B55">
        <w:rPr>
          <w:b/>
          <w:bCs/>
        </w:rPr>
        <w:t xml:space="preserve">“Volunteer” means a person registered with the Florida Department of Corrections or a </w:t>
      </w:r>
      <w:r w:rsidR="00EE2B2D" w:rsidRPr="00E51191">
        <w:rPr>
          <w:b/>
          <w:bCs/>
        </w:rPr>
        <w:t>contractor-operated</w:t>
      </w:r>
      <w:r w:rsidR="00EE2B2D" w:rsidRPr="00521B55">
        <w:rPr>
          <w:b/>
          <w:bCs/>
          <w:u w:val="single"/>
        </w:rPr>
        <w:t xml:space="preserve"> </w:t>
      </w:r>
      <w:proofErr w:type="gramStart"/>
      <w:r w:rsidRPr="00521B55">
        <w:rPr>
          <w:b/>
          <w:bCs/>
        </w:rPr>
        <w:t>correctional facility</w:t>
      </w:r>
      <w:proofErr w:type="gramEnd"/>
      <w:r w:rsidRPr="00521B55">
        <w:rPr>
          <w:b/>
          <w:bCs/>
        </w:rPr>
        <w:t xml:space="preserve"> who is engaged in specific voluntary service activities on an ongoing or continual basis.</w:t>
      </w:r>
    </w:p>
    <w:p w14:paraId="242AB8C1" w14:textId="77777777" w:rsidR="00072379" w:rsidRPr="00521B55" w:rsidRDefault="00072379" w:rsidP="00072379">
      <w:pPr>
        <w:pStyle w:val="SJITextItalic"/>
      </w:pPr>
      <w:r w:rsidRPr="00521B55">
        <w:t>§ 944.710, Fla. Stat.</w:t>
      </w:r>
    </w:p>
    <w:p w14:paraId="15FE82FB" w14:textId="7582A7FB" w:rsidR="00072379" w:rsidRPr="008F3876" w:rsidRDefault="00072379" w:rsidP="00072379">
      <w:pPr>
        <w:rPr>
          <w:i/>
          <w:iCs/>
          <w:szCs w:val="24"/>
        </w:rPr>
      </w:pPr>
      <w:r w:rsidRPr="00521B55">
        <w:rPr>
          <w:b/>
          <w:bCs/>
        </w:rPr>
        <w:t>“</w:t>
      </w:r>
      <w:r w:rsidR="00EE2B2D" w:rsidRPr="00E51191">
        <w:rPr>
          <w:b/>
          <w:bCs/>
        </w:rPr>
        <w:t xml:space="preserve">Contractor-operated </w:t>
      </w:r>
      <w:r w:rsidRPr="00E51191">
        <w:rPr>
          <w:b/>
          <w:bCs/>
        </w:rPr>
        <w:t>correctional</w:t>
      </w:r>
      <w:r w:rsidRPr="00521B55">
        <w:rPr>
          <w:b/>
          <w:bCs/>
        </w:rPr>
        <w:t xml:space="preserve"> facility” means any facility, that is not operated by the Florida Department of Corrections, for the incarceration</w:t>
      </w:r>
      <w:r w:rsidRPr="008F3876">
        <w:rPr>
          <w:b/>
          <w:bCs/>
        </w:rPr>
        <w:t xml:space="preserve"> </w:t>
      </w:r>
      <w:r w:rsidRPr="008F3876">
        <w:rPr>
          <w:b/>
          <w:bCs/>
        </w:rPr>
        <w:lastRenderedPageBreak/>
        <w:t>of adults or juveniles who have been sentenced by a court and committed to the custody of the Department of Corrections.</w:t>
      </w:r>
    </w:p>
    <w:p w14:paraId="5FF399DE" w14:textId="77777777" w:rsidR="00072379" w:rsidRPr="008F3876" w:rsidRDefault="00072379" w:rsidP="00072379">
      <w:pPr>
        <w:pStyle w:val="SJITextItalic"/>
      </w:pPr>
      <w:r w:rsidRPr="008F3876">
        <w:t>§ 944.35, Fla. Stat.</w:t>
      </w:r>
    </w:p>
    <w:p w14:paraId="1F62CCD1" w14:textId="77777777" w:rsidR="00072379" w:rsidRPr="008F3876" w:rsidRDefault="00072379" w:rsidP="00072379">
      <w:pPr>
        <w:rPr>
          <w:b/>
          <w:bCs/>
        </w:rPr>
      </w:pPr>
      <w:r w:rsidRPr="008F3876">
        <w:rPr>
          <w:b/>
          <w:bCs/>
        </w:rPr>
        <w:t xml:space="preserve">The provisions of this statute do not apply to </w:t>
      </w:r>
      <w:r w:rsidRPr="007846BA">
        <w:rPr>
          <w:b/>
          <w:bCs/>
        </w:rPr>
        <w:t xml:space="preserve">a[n] </w:t>
      </w:r>
      <w:r w:rsidRPr="007846BA">
        <w:t>(insert appropriate position of the defendant)</w:t>
      </w:r>
      <w:r w:rsidRPr="00F6584D">
        <w:t xml:space="preserve"> </w:t>
      </w:r>
      <w:r w:rsidRPr="008F3876">
        <w:rPr>
          <w:b/>
          <w:bCs/>
        </w:rPr>
        <w:t xml:space="preserve">who engages in sexual misconduct and is legally married to an [inmate] [offender under the [Department’s] [facility’s] supervision], or to any </w:t>
      </w:r>
      <w:r w:rsidRPr="007846BA">
        <w:t>(insert appropriate position of the defendant)</w:t>
      </w:r>
      <w:r w:rsidRPr="00F871F5">
        <w:rPr>
          <w:b/>
          <w:bCs/>
        </w:rPr>
        <w:t xml:space="preserve"> </w:t>
      </w:r>
      <w:r w:rsidRPr="008F3876">
        <w:rPr>
          <w:b/>
          <w:bCs/>
        </w:rPr>
        <w:t>who has no knowledge, and would have no reason to believe, that the person with whom the employee has engaged in sexual misconduct is an [inmate] [offender] under the [Department’s] [facility’s] supervision.</w:t>
      </w:r>
    </w:p>
    <w:p w14:paraId="2C58285F" w14:textId="77777777" w:rsidR="00072379" w:rsidRPr="008F3876" w:rsidRDefault="00072379" w:rsidP="00072379">
      <w:pPr>
        <w:pStyle w:val="SJIComments"/>
      </w:pPr>
      <w:r w:rsidRPr="008F3876">
        <w:t>Lesser Included Offenses</w:t>
      </w:r>
    </w:p>
    <w:p w14:paraId="4D119210" w14:textId="128114E8" w:rsidR="00072379" w:rsidRPr="008F3876" w:rsidRDefault="00072379" w:rsidP="00072379">
      <w:pPr>
        <w:pStyle w:val="Heading4"/>
      </w:pPr>
      <w:r w:rsidRPr="008F3876">
        <w:t xml:space="preserve">SEXUAL MISCONDUCT BY </w:t>
      </w:r>
      <w:r w:rsidRPr="007846BA">
        <w:t xml:space="preserve">A[n] [insert appropriate postion of the defendant] </w:t>
      </w:r>
      <w:r w:rsidRPr="008F3876">
        <w:t>— 944.35(3)(</w:t>
      </w:r>
      <w:r w:rsidRPr="008F3876">
        <w:rPr>
          <w:caps w:val="0"/>
        </w:rPr>
        <w:t>b</w:t>
      </w:r>
      <w:r w:rsidRPr="008F3876">
        <w:t>)2.</w:t>
      </w:r>
    </w:p>
    <w:tbl>
      <w:tblPr>
        <w:tblStyle w:val="PlainTable21"/>
        <w:tblW w:w="5000" w:type="pct"/>
        <w:tblLook w:val="0020" w:firstRow="1" w:lastRow="0" w:firstColumn="0" w:lastColumn="0" w:noHBand="0" w:noVBand="0"/>
      </w:tblPr>
      <w:tblGrid>
        <w:gridCol w:w="2989"/>
        <w:gridCol w:w="2991"/>
        <w:gridCol w:w="1964"/>
        <w:gridCol w:w="1406"/>
      </w:tblGrid>
      <w:tr w:rsidR="00072379" w:rsidRPr="008F3876" w14:paraId="409EC9AB" w14:textId="77777777" w:rsidTr="00321A2F">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98" w:type="pct"/>
          </w:tcPr>
          <w:p w14:paraId="361D4994" w14:textId="77777777" w:rsidR="00072379" w:rsidRPr="008F3876" w:rsidRDefault="00072379" w:rsidP="00072379">
            <w:pPr>
              <w:pStyle w:val="SJITableText"/>
            </w:pPr>
            <w:r w:rsidRPr="008F3876">
              <w:t>CATEGORY ONE</w:t>
            </w:r>
          </w:p>
        </w:tc>
        <w:tc>
          <w:tcPr>
            <w:cnfStyle w:val="000001000000" w:firstRow="0" w:lastRow="0" w:firstColumn="0" w:lastColumn="0" w:oddVBand="0" w:evenVBand="1" w:oddHBand="0" w:evenHBand="0" w:firstRowFirstColumn="0" w:firstRowLastColumn="0" w:lastRowFirstColumn="0" w:lastRowLastColumn="0"/>
            <w:tcW w:w="1599" w:type="pct"/>
          </w:tcPr>
          <w:p w14:paraId="1C9C7D79" w14:textId="77777777" w:rsidR="00072379" w:rsidRPr="008F3876" w:rsidRDefault="00072379" w:rsidP="00072379">
            <w:pPr>
              <w:pStyle w:val="SJITableText"/>
            </w:pPr>
            <w:r w:rsidRPr="008F3876">
              <w:t>CATEGORY TWO</w:t>
            </w:r>
          </w:p>
        </w:tc>
        <w:tc>
          <w:tcPr>
            <w:cnfStyle w:val="000010000000" w:firstRow="0" w:lastRow="0" w:firstColumn="0" w:lastColumn="0" w:oddVBand="1" w:evenVBand="0" w:oddHBand="0" w:evenHBand="0" w:firstRowFirstColumn="0" w:firstRowLastColumn="0" w:lastRowFirstColumn="0" w:lastRowLastColumn="0"/>
            <w:tcW w:w="1050" w:type="pct"/>
          </w:tcPr>
          <w:p w14:paraId="3A86421B" w14:textId="77777777" w:rsidR="00072379" w:rsidRPr="008F3876" w:rsidRDefault="00072379" w:rsidP="00072379">
            <w:pPr>
              <w:pStyle w:val="SJITableText"/>
            </w:pPr>
            <w:r w:rsidRPr="008F3876">
              <w:t>FLA. STAT.</w:t>
            </w:r>
          </w:p>
        </w:tc>
        <w:tc>
          <w:tcPr>
            <w:cnfStyle w:val="000001000000" w:firstRow="0" w:lastRow="0" w:firstColumn="0" w:lastColumn="0" w:oddVBand="0" w:evenVBand="1" w:oddHBand="0" w:evenHBand="0" w:firstRowFirstColumn="0" w:firstRowLastColumn="0" w:lastRowFirstColumn="0" w:lastRowLastColumn="0"/>
            <w:tcW w:w="752" w:type="pct"/>
          </w:tcPr>
          <w:p w14:paraId="4BA2D3A9" w14:textId="77777777" w:rsidR="00072379" w:rsidRPr="008F3876" w:rsidRDefault="00072379" w:rsidP="00072379">
            <w:pPr>
              <w:pStyle w:val="SJITableText"/>
            </w:pPr>
            <w:r w:rsidRPr="008F3876">
              <w:t>INS. NO.</w:t>
            </w:r>
          </w:p>
        </w:tc>
      </w:tr>
      <w:tr w:rsidR="00072379" w:rsidRPr="008F3876" w14:paraId="70B7A6BE" w14:textId="77777777" w:rsidTr="00321A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98" w:type="pct"/>
          </w:tcPr>
          <w:p w14:paraId="26AB85B5" w14:textId="77777777" w:rsidR="00072379" w:rsidRPr="008F3876" w:rsidRDefault="00072379" w:rsidP="00072379">
            <w:pPr>
              <w:pStyle w:val="SJITableText"/>
            </w:pPr>
            <w:r w:rsidRPr="008F3876">
              <w:t>None</w:t>
            </w:r>
          </w:p>
        </w:tc>
        <w:tc>
          <w:tcPr>
            <w:cnfStyle w:val="000001000000" w:firstRow="0" w:lastRow="0" w:firstColumn="0" w:lastColumn="0" w:oddVBand="0" w:evenVBand="1" w:oddHBand="0" w:evenHBand="0" w:firstRowFirstColumn="0" w:firstRowLastColumn="0" w:lastRowFirstColumn="0" w:lastRowLastColumn="0"/>
            <w:tcW w:w="1599" w:type="pct"/>
          </w:tcPr>
          <w:p w14:paraId="1D352967" w14:textId="77777777" w:rsidR="00072379" w:rsidRPr="008F3876" w:rsidRDefault="00072379" w:rsidP="00072379">
            <w:pPr>
              <w:pStyle w:val="SJITableText"/>
            </w:pPr>
          </w:p>
        </w:tc>
        <w:tc>
          <w:tcPr>
            <w:cnfStyle w:val="000010000000" w:firstRow="0" w:lastRow="0" w:firstColumn="0" w:lastColumn="0" w:oddVBand="1" w:evenVBand="0" w:oddHBand="0" w:evenHBand="0" w:firstRowFirstColumn="0" w:firstRowLastColumn="0" w:lastRowFirstColumn="0" w:lastRowLastColumn="0"/>
            <w:tcW w:w="1050" w:type="pct"/>
          </w:tcPr>
          <w:p w14:paraId="1B82142F" w14:textId="77777777" w:rsidR="00072379" w:rsidRPr="008F3876" w:rsidRDefault="00072379" w:rsidP="00072379">
            <w:pPr>
              <w:pStyle w:val="SJITableText"/>
            </w:pPr>
          </w:p>
        </w:tc>
        <w:tc>
          <w:tcPr>
            <w:cnfStyle w:val="000001000000" w:firstRow="0" w:lastRow="0" w:firstColumn="0" w:lastColumn="0" w:oddVBand="0" w:evenVBand="1" w:oddHBand="0" w:evenHBand="0" w:firstRowFirstColumn="0" w:firstRowLastColumn="0" w:lastRowFirstColumn="0" w:lastRowLastColumn="0"/>
            <w:tcW w:w="752" w:type="pct"/>
          </w:tcPr>
          <w:p w14:paraId="684D18A7" w14:textId="77777777" w:rsidR="00072379" w:rsidRPr="008F3876" w:rsidRDefault="00072379" w:rsidP="00072379">
            <w:pPr>
              <w:pStyle w:val="SJITableText"/>
            </w:pPr>
          </w:p>
        </w:tc>
      </w:tr>
      <w:tr w:rsidR="00072379" w:rsidRPr="008F3876" w14:paraId="71954594" w14:textId="77777777" w:rsidTr="00321A2F">
        <w:tc>
          <w:tcPr>
            <w:cnfStyle w:val="000010000000" w:firstRow="0" w:lastRow="0" w:firstColumn="0" w:lastColumn="0" w:oddVBand="1" w:evenVBand="0" w:oddHBand="0" w:evenHBand="0" w:firstRowFirstColumn="0" w:firstRowLastColumn="0" w:lastRowFirstColumn="0" w:lastRowLastColumn="0"/>
            <w:tcW w:w="1598" w:type="pct"/>
          </w:tcPr>
          <w:p w14:paraId="5084AC53" w14:textId="77777777" w:rsidR="00072379" w:rsidRPr="008F3876" w:rsidRDefault="00072379" w:rsidP="00072379">
            <w:pPr>
              <w:pStyle w:val="SJITableText"/>
            </w:pPr>
          </w:p>
        </w:tc>
        <w:tc>
          <w:tcPr>
            <w:cnfStyle w:val="000001000000" w:firstRow="0" w:lastRow="0" w:firstColumn="0" w:lastColumn="0" w:oddVBand="0" w:evenVBand="1" w:oddHBand="0" w:evenHBand="0" w:firstRowFirstColumn="0" w:firstRowLastColumn="0" w:lastRowFirstColumn="0" w:lastRowLastColumn="0"/>
            <w:tcW w:w="1599" w:type="pct"/>
          </w:tcPr>
          <w:p w14:paraId="0CD3DC2C" w14:textId="77777777" w:rsidR="00072379" w:rsidRPr="008F3876" w:rsidRDefault="00072379" w:rsidP="00072379">
            <w:pPr>
              <w:pStyle w:val="SJITableText"/>
            </w:pPr>
            <w:r w:rsidRPr="008F3876">
              <w:t>Battery</w:t>
            </w:r>
          </w:p>
        </w:tc>
        <w:tc>
          <w:tcPr>
            <w:cnfStyle w:val="000010000000" w:firstRow="0" w:lastRow="0" w:firstColumn="0" w:lastColumn="0" w:oddVBand="1" w:evenVBand="0" w:oddHBand="0" w:evenHBand="0" w:firstRowFirstColumn="0" w:firstRowLastColumn="0" w:lastRowFirstColumn="0" w:lastRowLastColumn="0"/>
            <w:tcW w:w="1050" w:type="pct"/>
          </w:tcPr>
          <w:p w14:paraId="36B24CAA" w14:textId="77777777" w:rsidR="00072379" w:rsidRPr="008F3876" w:rsidRDefault="00072379" w:rsidP="00072379">
            <w:pPr>
              <w:pStyle w:val="SJITableText"/>
            </w:pPr>
            <w:r w:rsidRPr="008F3876">
              <w:t>784.03</w:t>
            </w:r>
          </w:p>
        </w:tc>
        <w:tc>
          <w:tcPr>
            <w:cnfStyle w:val="000001000000" w:firstRow="0" w:lastRow="0" w:firstColumn="0" w:lastColumn="0" w:oddVBand="0" w:evenVBand="1" w:oddHBand="0" w:evenHBand="0" w:firstRowFirstColumn="0" w:firstRowLastColumn="0" w:lastRowFirstColumn="0" w:lastRowLastColumn="0"/>
            <w:tcW w:w="752" w:type="pct"/>
          </w:tcPr>
          <w:p w14:paraId="7133F6F0" w14:textId="77777777" w:rsidR="00072379" w:rsidRPr="008F3876" w:rsidRDefault="00072379" w:rsidP="00072379">
            <w:pPr>
              <w:pStyle w:val="SJITableText"/>
            </w:pPr>
            <w:r w:rsidRPr="008F3876">
              <w:t>8.3</w:t>
            </w:r>
          </w:p>
        </w:tc>
      </w:tr>
      <w:tr w:rsidR="00072379" w:rsidRPr="008F3876" w14:paraId="744C9D86" w14:textId="77777777" w:rsidTr="00321A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98" w:type="pct"/>
          </w:tcPr>
          <w:p w14:paraId="069B2A4B" w14:textId="77777777" w:rsidR="00072379" w:rsidRPr="008F3876" w:rsidRDefault="00072379" w:rsidP="00072379">
            <w:pPr>
              <w:pStyle w:val="SJITableText"/>
            </w:pPr>
          </w:p>
        </w:tc>
        <w:tc>
          <w:tcPr>
            <w:cnfStyle w:val="000001000000" w:firstRow="0" w:lastRow="0" w:firstColumn="0" w:lastColumn="0" w:oddVBand="0" w:evenVBand="1" w:oddHBand="0" w:evenHBand="0" w:firstRowFirstColumn="0" w:firstRowLastColumn="0" w:lastRowFirstColumn="0" w:lastRowLastColumn="0"/>
            <w:tcW w:w="1599" w:type="pct"/>
          </w:tcPr>
          <w:p w14:paraId="09B2258A" w14:textId="77777777" w:rsidR="00072379" w:rsidRPr="008F3876" w:rsidRDefault="00072379" w:rsidP="00072379">
            <w:pPr>
              <w:pStyle w:val="SJITableText"/>
            </w:pPr>
            <w:r w:rsidRPr="008F3876">
              <w:t xml:space="preserve">Attempt </w:t>
            </w:r>
          </w:p>
        </w:tc>
        <w:tc>
          <w:tcPr>
            <w:cnfStyle w:val="000010000000" w:firstRow="0" w:lastRow="0" w:firstColumn="0" w:lastColumn="0" w:oddVBand="1" w:evenVBand="0" w:oddHBand="0" w:evenHBand="0" w:firstRowFirstColumn="0" w:firstRowLastColumn="0" w:lastRowFirstColumn="0" w:lastRowLastColumn="0"/>
            <w:tcW w:w="1050" w:type="pct"/>
          </w:tcPr>
          <w:p w14:paraId="1256CBA5" w14:textId="77777777" w:rsidR="00072379" w:rsidRPr="008F3876" w:rsidRDefault="00072379" w:rsidP="00072379">
            <w:pPr>
              <w:pStyle w:val="SJITableText"/>
            </w:pPr>
            <w:r w:rsidRPr="008F3876">
              <w:t>777.04(1)</w:t>
            </w:r>
          </w:p>
        </w:tc>
        <w:tc>
          <w:tcPr>
            <w:cnfStyle w:val="000001000000" w:firstRow="0" w:lastRow="0" w:firstColumn="0" w:lastColumn="0" w:oddVBand="0" w:evenVBand="1" w:oddHBand="0" w:evenHBand="0" w:firstRowFirstColumn="0" w:firstRowLastColumn="0" w:lastRowFirstColumn="0" w:lastRowLastColumn="0"/>
            <w:tcW w:w="752" w:type="pct"/>
          </w:tcPr>
          <w:p w14:paraId="26CF285F" w14:textId="77777777" w:rsidR="00072379" w:rsidRPr="008F3876" w:rsidRDefault="00072379" w:rsidP="00072379">
            <w:pPr>
              <w:pStyle w:val="SJITableText"/>
            </w:pPr>
            <w:r w:rsidRPr="008F3876">
              <w:t>5.1</w:t>
            </w:r>
          </w:p>
        </w:tc>
      </w:tr>
    </w:tbl>
    <w:p w14:paraId="3A4415CA" w14:textId="77777777" w:rsidR="00072379" w:rsidRPr="008F3876" w:rsidRDefault="00072379" w:rsidP="00072379">
      <w:pPr>
        <w:pStyle w:val="SJIComments"/>
      </w:pPr>
      <w:r w:rsidRPr="008F3876">
        <w:t>Comments</w:t>
      </w:r>
    </w:p>
    <w:p w14:paraId="4B85D1B4" w14:textId="25CCEEE9" w:rsidR="00CB655D" w:rsidRPr="00E51191" w:rsidRDefault="00CB655D" w:rsidP="00CB655D">
      <w:r w:rsidRPr="00E51191">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E51191">
        <w:rPr>
          <w:i/>
          <w:iCs/>
        </w:rPr>
        <w:t xml:space="preserve">Flores v. State, </w:t>
      </w:r>
      <w:r w:rsidRPr="00E51191">
        <w:t xml:space="preserve">-- So. 3d </w:t>
      </w:r>
      <w:r w:rsidR="00E51191" w:rsidRPr="00E51191">
        <w:t>--</w:t>
      </w:r>
      <w:r w:rsidRPr="00E51191">
        <w:t xml:space="preserve"> (Fla. 4th DCA 2024) is an example of an appellate court finding fundamental error when the trial judge expanded the definition of “vaginal penetration” by instructing on “female genital penetration.”  </w:t>
      </w:r>
    </w:p>
    <w:p w14:paraId="6104C6D0" w14:textId="6E7B9B24" w:rsidR="00072379" w:rsidRPr="008F3876" w:rsidRDefault="00072379" w:rsidP="00072379">
      <w:r w:rsidRPr="008F3876">
        <w:t xml:space="preserve">As of </w:t>
      </w:r>
      <w:r w:rsidR="00E51191" w:rsidRPr="00E51191">
        <w:t xml:space="preserve">August </w:t>
      </w:r>
      <w:r w:rsidRPr="00E51191">
        <w:t>2024</w:t>
      </w:r>
      <w:r w:rsidRPr="008F3876">
        <w:t>, it was unclear whether acts done for bona fide medical purposes, internal searches conducted in the lawful performance an employee’s duty, or the provisions in § 944.35(3)(b)4., Fla. Stat., should be treated as affirmative defenses or as elements that the State must disprove. If treated as an affirmative defense, the judge must then determine who has the burden of persuasion and what that burden is (preponderance of the evidence, clear and convincing, or beyond a reasonable doubt).</w:t>
      </w:r>
      <w:r>
        <w:t xml:space="preserve"> </w:t>
      </w:r>
    </w:p>
    <w:p w14:paraId="7307B9A3" w14:textId="61509DEA" w:rsidR="00361415" w:rsidRPr="00072379" w:rsidRDefault="00072379" w:rsidP="00072379">
      <w:r w:rsidRPr="008F3876">
        <w:t>This instruction was adopted on April 25, 2023</w:t>
      </w:r>
      <w:r>
        <w:t>,</w:t>
      </w:r>
      <w:r w:rsidRPr="007846BA">
        <w:t xml:space="preserve"> and amended on March 8, 2024</w:t>
      </w:r>
      <w:r w:rsidR="00EE2B2D" w:rsidRPr="00E51191">
        <w:t xml:space="preserve">, and on </w:t>
      </w:r>
      <w:r w:rsidR="00E51191" w:rsidRPr="00E51191">
        <w:t>September 20</w:t>
      </w:r>
      <w:r w:rsidR="00521B55" w:rsidRPr="00E51191">
        <w:t>, 2024</w:t>
      </w:r>
      <w:r w:rsidRPr="00E51191">
        <w:t>.</w:t>
      </w:r>
      <w:r>
        <w:rPr>
          <w:u w:val="single"/>
        </w:rPr>
        <w:t xml:space="preserve"> </w:t>
      </w:r>
    </w:p>
    <w:sectPr w:rsidR="00361415" w:rsidRPr="00072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2A01105"/>
    <w:multiLevelType w:val="hybridMultilevel"/>
    <w:tmpl w:val="EE68C268"/>
    <w:lvl w:ilvl="0" w:tplc="850EEA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68153583"/>
    <w:multiLevelType w:val="hybridMultilevel"/>
    <w:tmpl w:val="3E0004DC"/>
    <w:lvl w:ilvl="0" w:tplc="EF0E86BA">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527326184">
    <w:abstractNumId w:val="2"/>
  </w:num>
  <w:num w:numId="2" w16cid:durableId="230582827">
    <w:abstractNumId w:val="0"/>
  </w:num>
  <w:num w:numId="3" w16cid:durableId="1236428247">
    <w:abstractNumId w:val="0"/>
  </w:num>
  <w:num w:numId="4" w16cid:durableId="925574386">
    <w:abstractNumId w:val="3"/>
  </w:num>
  <w:num w:numId="5" w16cid:durableId="29860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15"/>
    <w:rsid w:val="00072379"/>
    <w:rsid w:val="00093F60"/>
    <w:rsid w:val="0011538A"/>
    <w:rsid w:val="001540CB"/>
    <w:rsid w:val="00192E70"/>
    <w:rsid w:val="00276059"/>
    <w:rsid w:val="003101E3"/>
    <w:rsid w:val="00361415"/>
    <w:rsid w:val="00362B37"/>
    <w:rsid w:val="0036687E"/>
    <w:rsid w:val="003C74CF"/>
    <w:rsid w:val="003E05DE"/>
    <w:rsid w:val="00521B55"/>
    <w:rsid w:val="00560E92"/>
    <w:rsid w:val="005716A5"/>
    <w:rsid w:val="00682C87"/>
    <w:rsid w:val="00691764"/>
    <w:rsid w:val="007349D8"/>
    <w:rsid w:val="007D1EBA"/>
    <w:rsid w:val="009435D1"/>
    <w:rsid w:val="00A33953"/>
    <w:rsid w:val="00AA4062"/>
    <w:rsid w:val="00B7670D"/>
    <w:rsid w:val="00CB655D"/>
    <w:rsid w:val="00D83594"/>
    <w:rsid w:val="00DD41C6"/>
    <w:rsid w:val="00E51191"/>
    <w:rsid w:val="00ED489E"/>
    <w:rsid w:val="00EE2B2D"/>
    <w:rsid w:val="00EF287F"/>
    <w:rsid w:val="00F35305"/>
    <w:rsid w:val="00F777E4"/>
    <w:rsid w:val="00F82895"/>
    <w:rsid w:val="00FE268B"/>
    <w:rsid w:val="00FF2A90"/>
    <w:rsid w:val="00FF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2662F"/>
  <w14:defaultImageDpi w14:val="0"/>
  <w15:docId w15:val="{40BB848F-57F3-427D-A876-1B57894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415"/>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361415"/>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361415"/>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361415"/>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361415"/>
    <w:pPr>
      <w:outlineLvl w:val="3"/>
    </w:pPr>
  </w:style>
  <w:style w:type="paragraph" w:styleId="Heading5">
    <w:name w:val="heading 5"/>
    <w:basedOn w:val="Normal"/>
    <w:next w:val="Normal"/>
    <w:link w:val="Heading5Char"/>
    <w:uiPriority w:val="9"/>
    <w:qFormat/>
    <w:rsid w:val="00361415"/>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61415"/>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361415"/>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361415"/>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361415"/>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1415"/>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361415"/>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361415"/>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361415"/>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361415"/>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361415"/>
    <w:rPr>
      <w:rFonts w:ascii="Times New Roman" w:hAnsi="Times New Roman" w:cs="Times New Roman"/>
      <w:b/>
      <w:bCs/>
    </w:rPr>
  </w:style>
  <w:style w:type="character" w:customStyle="1" w:styleId="Heading7Char">
    <w:name w:val="Heading 7 Char"/>
    <w:basedOn w:val="DefaultParagraphFont"/>
    <w:link w:val="Heading7"/>
    <w:uiPriority w:val="9"/>
    <w:locked/>
    <w:rsid w:val="00361415"/>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61415"/>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61415"/>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361415"/>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361415"/>
    <w:pPr>
      <w:tabs>
        <w:tab w:val="left" w:pos="720"/>
      </w:tabs>
      <w:suppressAutoHyphens/>
      <w:spacing w:after="0"/>
    </w:pPr>
    <w:rPr>
      <w:rFonts w:cs="Times New Roman"/>
      <w:i/>
      <w:iCs/>
      <w:szCs w:val="24"/>
    </w:rPr>
  </w:style>
  <w:style w:type="paragraph" w:customStyle="1" w:styleId="SJITableText">
    <w:name w:val="SJI Table Text"/>
    <w:basedOn w:val="Normal"/>
    <w:qFormat/>
    <w:rsid w:val="00361415"/>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361415"/>
    <w:pPr>
      <w:spacing w:before="220"/>
      <w:ind w:firstLine="0"/>
      <w:jc w:val="center"/>
    </w:pPr>
    <w:rPr>
      <w:rFonts w:cs="Courier New"/>
      <w:b/>
    </w:rPr>
  </w:style>
  <w:style w:type="table" w:customStyle="1" w:styleId="TableGrid1">
    <w:name w:val="Table Grid1"/>
    <w:basedOn w:val="TableNormal"/>
    <w:next w:val="TableGrid"/>
    <w:uiPriority w:val="99"/>
    <w:rsid w:val="00361415"/>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361415"/>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361415"/>
    <w:pPr>
      <w:widowControl w:val="0"/>
      <w:autoSpaceDE w:val="0"/>
      <w:autoSpaceDN w:val="0"/>
      <w:adjustRightInd w:val="0"/>
      <w:ind w:left="1296" w:hanging="576"/>
    </w:pPr>
    <w:rPr>
      <w:rFonts w:cs="Times New Roman"/>
    </w:rPr>
  </w:style>
  <w:style w:type="character" w:customStyle="1" w:styleId="SJIBold">
    <w:name w:val="SJI Bold"/>
    <w:uiPriority w:val="1"/>
    <w:qFormat/>
    <w:rsid w:val="00361415"/>
    <w:rPr>
      <w:b/>
    </w:rPr>
  </w:style>
  <w:style w:type="paragraph" w:customStyle="1" w:styleId="SJIText">
    <w:name w:val="SJI Text"/>
    <w:basedOn w:val="Normal"/>
    <w:next w:val="Normal"/>
    <w:qFormat/>
    <w:rsid w:val="00361415"/>
    <w:rPr>
      <w:rFonts w:cs="Times New Roman"/>
    </w:rPr>
  </w:style>
  <w:style w:type="paragraph" w:customStyle="1" w:styleId="SJITableTitle">
    <w:name w:val="SJI Table Title"/>
    <w:basedOn w:val="Normal"/>
    <w:qFormat/>
    <w:rsid w:val="00361415"/>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361415"/>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361415"/>
    <w:pPr>
      <w:numPr>
        <w:numId w:val="3"/>
      </w:numPr>
    </w:pPr>
    <w:rPr>
      <w:rFonts w:cs="Times New Roman"/>
    </w:rPr>
  </w:style>
  <w:style w:type="paragraph" w:styleId="ListParagraph">
    <w:name w:val="List Paragraph"/>
    <w:basedOn w:val="Normal"/>
    <w:uiPriority w:val="34"/>
    <w:qFormat/>
    <w:rsid w:val="00361415"/>
    <w:pPr>
      <w:ind w:left="720"/>
    </w:pPr>
  </w:style>
  <w:style w:type="paragraph" w:customStyle="1" w:styleId="SJITableNotation">
    <w:name w:val="SJI Table Notation"/>
    <w:basedOn w:val="SJITableText"/>
    <w:qFormat/>
    <w:rsid w:val="00361415"/>
    <w:pPr>
      <w:spacing w:before="120" w:after="240"/>
    </w:pPr>
  </w:style>
  <w:style w:type="character" w:customStyle="1" w:styleId="SJIUnderline">
    <w:name w:val="SJI Underline"/>
    <w:uiPriority w:val="1"/>
    <w:qFormat/>
    <w:rsid w:val="00361415"/>
    <w:rPr>
      <w:rFonts w:ascii="Times New Roman" w:hAnsi="Times New Roman"/>
      <w:sz w:val="28"/>
      <w:u w:val="single"/>
    </w:rPr>
  </w:style>
  <w:style w:type="paragraph" w:styleId="Caption">
    <w:name w:val="caption"/>
    <w:basedOn w:val="Normal"/>
    <w:next w:val="Normal"/>
    <w:uiPriority w:val="35"/>
    <w:semiHidden/>
    <w:unhideWhenUsed/>
    <w:qFormat/>
    <w:rsid w:val="00361415"/>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361415"/>
    <w:pPr>
      <w:jc w:val="center"/>
    </w:pPr>
    <w:rPr>
      <w:rFonts w:cs="Times New Roman"/>
      <w:b/>
      <w:bCs/>
      <w:sz w:val="28"/>
      <w:szCs w:val="28"/>
    </w:rPr>
  </w:style>
  <w:style w:type="character" w:customStyle="1" w:styleId="TitleChar">
    <w:name w:val="Title Char"/>
    <w:basedOn w:val="DefaultParagraphFont"/>
    <w:link w:val="Title"/>
    <w:uiPriority w:val="10"/>
    <w:locked/>
    <w:rsid w:val="00361415"/>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361415"/>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361415"/>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361415"/>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361415"/>
    <w:rPr>
      <w:rFonts w:ascii="Bookman Old Style" w:hAnsi="Bookman Old Style" w:cs="Times New Roman"/>
      <w:color w:val="000000"/>
    </w:rPr>
  </w:style>
  <w:style w:type="paragraph" w:styleId="Quote">
    <w:name w:val="Quote"/>
    <w:basedOn w:val="Normal"/>
    <w:next w:val="Normal"/>
    <w:link w:val="QuoteChar"/>
    <w:uiPriority w:val="29"/>
    <w:qFormat/>
    <w:rsid w:val="00361415"/>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361415"/>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361415"/>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361415"/>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361415"/>
    <w:pPr>
      <w:outlineLvl w:val="9"/>
    </w:pPr>
    <w:rPr>
      <w:b w:val="0"/>
      <w:caps w:val="0"/>
      <w:sz w:val="32"/>
    </w:rPr>
  </w:style>
  <w:style w:type="numbering" w:customStyle="1" w:styleId="NumberandSubs">
    <w:name w:val="Number and Subs"/>
    <w:pPr>
      <w:numPr>
        <w:numId w:val="1"/>
      </w:numPr>
    </w:pPr>
  </w:style>
  <w:style w:type="table" w:customStyle="1" w:styleId="PlainTable21">
    <w:name w:val="Plain Table 21"/>
    <w:basedOn w:val="TableNormal"/>
    <w:next w:val="PlainTable2"/>
    <w:uiPriority w:val="42"/>
    <w:rsid w:val="00072379"/>
    <w:pPr>
      <w:spacing w:after="0" w:line="240" w:lineRule="auto"/>
    </w:pPr>
    <w:rPr>
      <w:rFonts w:ascii="Calibri" w:hAnsi="Calibri" w:cs="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0723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6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3253</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2024-09-21T18:23:00Z</dcterms:created>
  <dcterms:modified xsi:type="dcterms:W3CDTF">2024-09-21T18:23:00Z</dcterms:modified>
</cp:coreProperties>
</file>