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0DF8" w14:textId="77777777" w:rsidR="00BF77A1" w:rsidRPr="00E85211" w:rsidRDefault="00BF77A1" w:rsidP="00BF77A1">
      <w:pPr>
        <w:pStyle w:val="Heading3"/>
      </w:pPr>
      <w:bookmarkStart w:id="0" w:name="_Toc520107345"/>
      <w:bookmarkStart w:id="1" w:name="_Toc520195255"/>
      <w:bookmarkStart w:id="2" w:name="_Toc109650542"/>
      <w:bookmarkStart w:id="3" w:name="_Toc109807719"/>
      <w:r w:rsidRPr="00E85211">
        <w:t>11.18 SEXUAL MISCONDUCT BY A PSYCHOTHERAPIST</w:t>
      </w:r>
      <w:bookmarkEnd w:id="0"/>
      <w:bookmarkEnd w:id="1"/>
      <w:bookmarkEnd w:id="2"/>
      <w:bookmarkEnd w:id="3"/>
    </w:p>
    <w:p w14:paraId="2A5490E0" w14:textId="4CCDFFE1" w:rsidR="00BF77A1" w:rsidRPr="00E85211" w:rsidRDefault="00BF77A1" w:rsidP="00BF77A1">
      <w:pPr>
        <w:pStyle w:val="SJIStatuteinTitle"/>
      </w:pPr>
      <w:r w:rsidRPr="00E85211">
        <w:t>§ 491.0112, Fla. Stat</w:t>
      </w:r>
      <w:r w:rsidR="004D697B">
        <w:t>**</w:t>
      </w:r>
      <w:r w:rsidRPr="00E85211">
        <w:t>.</w:t>
      </w:r>
    </w:p>
    <w:p w14:paraId="0946BA8B" w14:textId="77777777" w:rsidR="00BF77A1" w:rsidRPr="00E85211" w:rsidRDefault="00BF77A1" w:rsidP="00BF77A1">
      <w:pPr>
        <w:tabs>
          <w:tab w:val="left" w:pos="720"/>
        </w:tabs>
        <w:suppressAutoHyphens/>
        <w:rPr>
          <w:b/>
          <w:bCs/>
        </w:rPr>
      </w:pPr>
      <w:r w:rsidRPr="00E85211">
        <w:rPr>
          <w:b/>
          <w:bCs/>
        </w:rPr>
        <w:t>To prove the crime of Sexual Misconduct by a Psychotherapist, the State must prove the following three elements beyond a reasonable doubt:</w:t>
      </w:r>
    </w:p>
    <w:p w14:paraId="796F1FD0" w14:textId="77777777" w:rsidR="00BF77A1" w:rsidRPr="00E85211" w:rsidRDefault="00BF77A1" w:rsidP="00BF77A1">
      <w:pPr>
        <w:tabs>
          <w:tab w:val="left" w:pos="720"/>
        </w:tabs>
        <w:suppressAutoHyphens/>
        <w:ind w:left="1440" w:hanging="720"/>
        <w:rPr>
          <w:b/>
        </w:rPr>
      </w:pPr>
      <w:r w:rsidRPr="00E85211">
        <w:rPr>
          <w:b/>
        </w:rPr>
        <w:t>1.</w:t>
      </w:r>
      <w:r w:rsidRPr="00E85211">
        <w:rPr>
          <w:b/>
        </w:rPr>
        <w:tab/>
      </w:r>
      <w:r w:rsidRPr="00E85211">
        <w:t>(Defendant)</w:t>
      </w:r>
      <w:r w:rsidRPr="00E85211">
        <w:rPr>
          <w:b/>
        </w:rPr>
        <w:t xml:space="preserve"> committed sexual misconduct with </w:t>
      </w:r>
      <w:r w:rsidRPr="00E85211">
        <w:t>(victim)</w:t>
      </w:r>
      <w:r w:rsidRPr="00E85211">
        <w:rPr>
          <w:b/>
        </w:rPr>
        <w:t>.</w:t>
      </w:r>
    </w:p>
    <w:p w14:paraId="37246D0B" w14:textId="77777777" w:rsidR="00BF77A1" w:rsidRPr="00E85211" w:rsidRDefault="00BF77A1" w:rsidP="00BF77A1">
      <w:pPr>
        <w:tabs>
          <w:tab w:val="left" w:pos="720"/>
        </w:tabs>
        <w:suppressAutoHyphens/>
        <w:ind w:left="1440" w:hanging="720"/>
        <w:rPr>
          <w:b/>
        </w:rPr>
      </w:pPr>
      <w:r w:rsidRPr="00E85211">
        <w:rPr>
          <w:b/>
        </w:rPr>
        <w:t>2.</w:t>
      </w:r>
      <w:r w:rsidRPr="00E85211">
        <w:rPr>
          <w:b/>
        </w:rPr>
        <w:tab/>
        <w:t xml:space="preserve">At the time, </w:t>
      </w:r>
      <w:r w:rsidRPr="00E85211">
        <w:t>(defendant)</w:t>
      </w:r>
      <w:r w:rsidRPr="00E85211">
        <w:rPr>
          <w:b/>
        </w:rPr>
        <w:t xml:space="preserve"> was a psychotherapist.</w:t>
      </w:r>
    </w:p>
    <w:p w14:paraId="0B7809DA" w14:textId="77777777" w:rsidR="00BF77A1" w:rsidRPr="00E85211" w:rsidRDefault="00BF77A1" w:rsidP="00BF77A1">
      <w:pPr>
        <w:pStyle w:val="SJITextItalic"/>
      </w:pPr>
      <w:r w:rsidRPr="00E85211">
        <w:t>Give 3a or 3b as applicable.</w:t>
      </w:r>
    </w:p>
    <w:p w14:paraId="171EB548" w14:textId="77777777" w:rsidR="00BF77A1" w:rsidRDefault="00BF77A1" w:rsidP="00BF77A1">
      <w:pPr>
        <w:suppressAutoHyphens/>
        <w:ind w:left="1440" w:hanging="720"/>
        <w:rPr>
          <w:b/>
          <w:bCs/>
        </w:rPr>
      </w:pPr>
      <w:r w:rsidRPr="00E85211">
        <w:rPr>
          <w:b/>
          <w:bCs/>
        </w:rPr>
        <w:t>3. a.</w:t>
      </w:r>
      <w:r w:rsidRPr="00E85211">
        <w:rPr>
          <w:b/>
          <w:bCs/>
        </w:rPr>
        <w:tab/>
        <w:t xml:space="preserve">At the time, </w:t>
      </w:r>
      <w:r w:rsidRPr="00E85211">
        <w:rPr>
          <w:bCs/>
        </w:rPr>
        <w:t>(victim)</w:t>
      </w:r>
      <w:r w:rsidRPr="00E85211">
        <w:rPr>
          <w:b/>
          <w:bCs/>
        </w:rPr>
        <w:t xml:space="preserve"> was a client of </w:t>
      </w:r>
      <w:r w:rsidRPr="00E85211">
        <w:rPr>
          <w:bCs/>
        </w:rPr>
        <w:t>(defendant)</w:t>
      </w:r>
      <w:r w:rsidRPr="00E85211">
        <w:rPr>
          <w:b/>
          <w:bCs/>
        </w:rPr>
        <w:t>.</w:t>
      </w:r>
    </w:p>
    <w:p w14:paraId="101D50C5" w14:textId="77777777" w:rsidR="00BF77A1" w:rsidRPr="00E85211" w:rsidRDefault="00BF77A1" w:rsidP="00BF77A1">
      <w:pPr>
        <w:suppressAutoHyphens/>
        <w:ind w:left="1440" w:hanging="495"/>
        <w:rPr>
          <w:bCs/>
        </w:rPr>
      </w:pPr>
      <w:r>
        <w:rPr>
          <w:b/>
          <w:bCs/>
        </w:rPr>
        <w:t xml:space="preserve"> </w:t>
      </w:r>
      <w:r w:rsidRPr="00E85211">
        <w:rPr>
          <w:b/>
          <w:bCs/>
        </w:rPr>
        <w:t>b.</w:t>
      </w:r>
      <w:r w:rsidRPr="00E85211">
        <w:rPr>
          <w:b/>
          <w:bCs/>
        </w:rPr>
        <w:tab/>
      </w:r>
      <w:r w:rsidRPr="00E85211">
        <w:rPr>
          <w:bCs/>
        </w:rPr>
        <w:t>(Victim)</w:t>
      </w:r>
      <w:r w:rsidRPr="00E85211">
        <w:rPr>
          <w:b/>
          <w:bCs/>
        </w:rPr>
        <w:t xml:space="preserve"> was a former client of </w:t>
      </w:r>
      <w:r w:rsidRPr="00E85211">
        <w:rPr>
          <w:bCs/>
        </w:rPr>
        <w:t>(defendant</w:t>
      </w:r>
      <w:proofErr w:type="gramStart"/>
      <w:r w:rsidR="00C8510B">
        <w:rPr>
          <w:bCs/>
        </w:rPr>
        <w:t>)</w:t>
      </w:r>
      <w:proofErr w:type="gramEnd"/>
      <w:r w:rsidRPr="00E85211">
        <w:rPr>
          <w:b/>
          <w:bCs/>
        </w:rPr>
        <w:t xml:space="preserve"> and the professional relationship was terminated primarily for the purpose of engaging in sexual contact.</w:t>
      </w:r>
    </w:p>
    <w:p w14:paraId="4FB03F3A" w14:textId="77777777" w:rsidR="00BF77A1" w:rsidRPr="00E85211" w:rsidRDefault="00BF77A1" w:rsidP="00BF77A1">
      <w:pPr>
        <w:pStyle w:val="SJITextItalic"/>
      </w:pPr>
      <w:r w:rsidRPr="00E85211">
        <w:t>§ 491.0112(3), Fla. Stat.</w:t>
      </w:r>
    </w:p>
    <w:p w14:paraId="37766D9C" w14:textId="77777777" w:rsidR="00BF77A1" w:rsidRPr="00E85211" w:rsidRDefault="00BF77A1" w:rsidP="00BF77A1">
      <w:pPr>
        <w:tabs>
          <w:tab w:val="left" w:pos="720"/>
        </w:tabs>
        <w:suppressAutoHyphens/>
        <w:rPr>
          <w:b/>
          <w:bCs/>
        </w:rPr>
      </w:pPr>
      <w:r w:rsidRPr="00E85211">
        <w:rPr>
          <w:b/>
          <w:bCs/>
        </w:rPr>
        <w:t xml:space="preserve">It is not a defense that </w:t>
      </w:r>
      <w:r w:rsidRPr="00E85211">
        <w:rPr>
          <w:bCs/>
        </w:rPr>
        <w:t>(victim)</w:t>
      </w:r>
      <w:r w:rsidRPr="00E85211">
        <w:rPr>
          <w:b/>
          <w:bCs/>
        </w:rPr>
        <w:t xml:space="preserve"> consented to any act that constitutes sexual misconduct.</w:t>
      </w:r>
    </w:p>
    <w:p w14:paraId="5557D5D5" w14:textId="09998323" w:rsidR="00D26515" w:rsidRDefault="00D26515" w:rsidP="00D26515">
      <w:pPr>
        <w:tabs>
          <w:tab w:val="left" w:pos="720"/>
        </w:tabs>
        <w:suppressAutoHyphens/>
        <w:rPr>
          <w:b/>
          <w:bCs/>
        </w:rPr>
      </w:pPr>
      <w:r w:rsidRPr="00E85211">
        <w:rPr>
          <w:b/>
          <w:bCs/>
        </w:rPr>
        <w:t xml:space="preserve">“Sexual misconduct” means the oral, anal, or </w:t>
      </w:r>
      <w:r w:rsidRPr="00D26515">
        <w:rPr>
          <w:b/>
          <w:bCs/>
        </w:rPr>
        <w:t>female genital</w:t>
      </w:r>
      <w:r w:rsidR="004D697B">
        <w:rPr>
          <w:b/>
          <w:bCs/>
        </w:rPr>
        <w:t>**</w:t>
      </w:r>
      <w:r w:rsidRPr="00D26515">
        <w:rPr>
          <w:b/>
          <w:bCs/>
        </w:rPr>
        <w:t xml:space="preserve"> penetration of another by, or contact with, the sexual organ of another or the anal or female genital penetration of another by any object.</w:t>
      </w:r>
    </w:p>
    <w:p w14:paraId="25B33641" w14:textId="77777777" w:rsidR="00D26515" w:rsidRPr="00D26515" w:rsidRDefault="00D26515" w:rsidP="00D26515">
      <w:pPr>
        <w:tabs>
          <w:tab w:val="left" w:pos="720"/>
        </w:tabs>
        <w:suppressAutoHyphens/>
        <w:spacing w:after="0" w:line="256" w:lineRule="auto"/>
        <w:rPr>
          <w:rFonts w:cs="Times New Roman"/>
          <w:i/>
          <w:iCs/>
          <w:szCs w:val="24"/>
        </w:rPr>
      </w:pPr>
      <w:r w:rsidRPr="00D26515">
        <w:rPr>
          <w:rFonts w:cs="Times New Roman"/>
          <w:i/>
          <w:iCs/>
          <w:szCs w:val="24"/>
        </w:rPr>
        <w:t>Give if applicable.</w:t>
      </w:r>
      <w:r>
        <w:rPr>
          <w:rFonts w:cs="Times New Roman"/>
          <w:i/>
          <w:iCs/>
          <w:szCs w:val="24"/>
        </w:rPr>
        <w:t xml:space="preserve"> </w:t>
      </w:r>
      <w:r w:rsidRPr="00D26515">
        <w:rPr>
          <w:rFonts w:cs="Times New Roman"/>
          <w:i/>
          <w:iCs/>
          <w:szCs w:val="24"/>
        </w:rPr>
        <w:t>Lakey v. State, 113 So. 3d 90 (Fla. 5th DCA 2013).</w:t>
      </w:r>
    </w:p>
    <w:p w14:paraId="67352856" w14:textId="77777777" w:rsidR="00D26515" w:rsidRPr="00D26515" w:rsidRDefault="00D26515" w:rsidP="00D265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6" w:lineRule="auto"/>
        <w:rPr>
          <w:b/>
          <w:iCs/>
        </w:rPr>
      </w:pPr>
      <w:r w:rsidRPr="00D26515">
        <w:rPr>
          <w:b/>
          <w:iCs/>
        </w:rPr>
        <w:t xml:space="preserve">“An object” includes a finger. </w:t>
      </w:r>
    </w:p>
    <w:p w14:paraId="7D596B71" w14:textId="36C9AE37" w:rsidR="00D26515" w:rsidRPr="00D40469" w:rsidRDefault="00D26515" w:rsidP="00D40469">
      <w:pPr>
        <w:rPr>
          <w:b/>
          <w:bCs/>
        </w:rPr>
      </w:pPr>
      <w:r w:rsidRPr="00D40469">
        <w:rPr>
          <w:b/>
          <w:bCs/>
        </w:rPr>
        <w:t>“Female genitals</w:t>
      </w:r>
      <w:r w:rsidR="004D697B" w:rsidRPr="00D40469">
        <w:rPr>
          <w:b/>
          <w:bCs/>
        </w:rPr>
        <w:t>**</w:t>
      </w:r>
      <w:r w:rsidRPr="00D40469">
        <w:rPr>
          <w:b/>
          <w:bCs/>
        </w:rPr>
        <w:t>” includes the labia minora, labia majora, clitoris, vulva, hymen, and vagina.</w:t>
      </w:r>
    </w:p>
    <w:p w14:paraId="296B1388" w14:textId="77777777" w:rsidR="00D26515" w:rsidRPr="00E85211" w:rsidRDefault="00D26515" w:rsidP="00D26515">
      <w:pPr>
        <w:tabs>
          <w:tab w:val="left" w:pos="720"/>
        </w:tabs>
        <w:suppressAutoHyphens/>
        <w:rPr>
          <w:b/>
          <w:bCs/>
        </w:rPr>
      </w:pPr>
      <w:r w:rsidRPr="00E85211">
        <w:rPr>
          <w:b/>
          <w:bCs/>
        </w:rPr>
        <w:t>“Psychotherapist” means any person licensed in Florida pursuant to Chapter 458 (medicine), Chapter 459 (osteopathic medicine), Part I of Chapter 464 (nursing), Chapter 490 (psychology), or Chapter 491 (clinical counseling or psychotherapy services); or any other person who provides or purports to provide treatment, diagnosis, assessment, evaluation, or counseling of mental or emotional illness, symptom, or condition.</w:t>
      </w:r>
    </w:p>
    <w:p w14:paraId="0BD92492" w14:textId="77777777" w:rsidR="00D26515" w:rsidRPr="00E85211" w:rsidRDefault="00D26515" w:rsidP="00D26515">
      <w:pPr>
        <w:tabs>
          <w:tab w:val="left" w:pos="720"/>
        </w:tabs>
        <w:suppressAutoHyphens/>
        <w:rPr>
          <w:b/>
          <w:bCs/>
        </w:rPr>
      </w:pPr>
      <w:r w:rsidRPr="00E85211">
        <w:rPr>
          <w:b/>
          <w:bCs/>
        </w:rPr>
        <w:t>“Client” means a person to whom the services of a psychotherapist are provided.</w:t>
      </w:r>
    </w:p>
    <w:p w14:paraId="245CB88D" w14:textId="77777777" w:rsidR="00BF77A1" w:rsidRPr="00E85211" w:rsidRDefault="00BF77A1" w:rsidP="00BF77A1">
      <w:pPr>
        <w:pStyle w:val="SJITextItalic"/>
      </w:pPr>
      <w:r w:rsidRPr="00E85211">
        <w:t>Give if applicable. § 491.0112(2), Fla. Stat.</w:t>
      </w:r>
    </w:p>
    <w:p w14:paraId="6B140443" w14:textId="77777777" w:rsidR="00D40469" w:rsidRDefault="00BF77A1" w:rsidP="00BF77A1">
      <w:pPr>
        <w:tabs>
          <w:tab w:val="left" w:pos="720"/>
        </w:tabs>
        <w:suppressAutoHyphens/>
        <w:rPr>
          <w:b/>
          <w:bCs/>
        </w:rPr>
      </w:pPr>
      <w:r w:rsidRPr="00E85211">
        <w:rPr>
          <w:b/>
          <w:bCs/>
        </w:rPr>
        <w:t>If you find the defendant guilty of Sexual Misconduct by a Psychotherapist, you must then determine whether the State has proven beyond a reasonable doubt that the crime was committed by means of therapeutic deception.</w:t>
      </w:r>
    </w:p>
    <w:p w14:paraId="4856D51E" w14:textId="759187CF" w:rsidR="00BF77A1" w:rsidRPr="00E85211" w:rsidRDefault="00BF77A1" w:rsidP="00BF77A1">
      <w:pPr>
        <w:tabs>
          <w:tab w:val="left" w:pos="720"/>
        </w:tabs>
        <w:suppressAutoHyphens/>
        <w:rPr>
          <w:b/>
          <w:bCs/>
        </w:rPr>
      </w:pPr>
      <w:r w:rsidRPr="00E85211">
        <w:rPr>
          <w:b/>
          <w:bCs/>
        </w:rPr>
        <w:t>“Therapeutic deception” means a representation to the client that sexual contact by the psychotherapist is consistent with or part of the treatment of the client.</w:t>
      </w:r>
    </w:p>
    <w:p w14:paraId="463AB192" w14:textId="77777777" w:rsidR="00BF77A1" w:rsidRDefault="00BF77A1" w:rsidP="00BF77A1">
      <w:pPr>
        <w:pStyle w:val="SJIComments"/>
      </w:pPr>
      <w:bookmarkStart w:id="4" w:name="0491.0112"/>
      <w:bookmarkEnd w:id="4"/>
      <w:r w:rsidRPr="00E85211">
        <w:t>Lesser Included Offenses</w:t>
      </w:r>
    </w:p>
    <w:p w14:paraId="54BB076D" w14:textId="77777777" w:rsidR="00BF77A1" w:rsidRPr="00E85211" w:rsidRDefault="00BF77A1" w:rsidP="00BF77A1">
      <w:pPr>
        <w:pStyle w:val="Heading4"/>
      </w:pPr>
      <w:bookmarkStart w:id="5" w:name="_Toc109650543"/>
      <w:r w:rsidRPr="00E85211">
        <w:t>SEXUAL MISCONDUCT BY A PSYCHOTHERAPIST — 491.0112</w:t>
      </w:r>
      <w:bookmarkEnd w:id="5"/>
    </w:p>
    <w:tbl>
      <w:tblPr>
        <w:tblStyle w:val="TableGrid1"/>
        <w:tblW w:w="5000" w:type="pct"/>
        <w:tblLook w:val="0020" w:firstRow="1" w:lastRow="0" w:firstColumn="0" w:lastColumn="0" w:noHBand="0" w:noVBand="0"/>
      </w:tblPr>
      <w:tblGrid>
        <w:gridCol w:w="2336"/>
        <w:gridCol w:w="3560"/>
        <w:gridCol w:w="1949"/>
        <w:gridCol w:w="1505"/>
      </w:tblGrid>
      <w:tr w:rsidR="00BF77A1" w:rsidRPr="00E85211" w14:paraId="71D3EADD" w14:textId="77777777" w:rsidTr="00D40469">
        <w:trPr>
          <w:cnfStyle w:val="100000000000" w:firstRow="1" w:lastRow="0" w:firstColumn="0" w:lastColumn="0" w:oddVBand="0" w:evenVBand="0" w:oddHBand="0" w:evenHBand="0" w:firstRowFirstColumn="0" w:firstRowLastColumn="0" w:lastRowFirstColumn="0" w:lastRowLastColumn="0"/>
        </w:trPr>
        <w:tc>
          <w:tcPr>
            <w:tcW w:w="1249" w:type="pct"/>
          </w:tcPr>
          <w:p w14:paraId="2618D530" w14:textId="77777777" w:rsidR="00BF77A1" w:rsidRPr="00E85211" w:rsidRDefault="00BF77A1" w:rsidP="003101E3">
            <w:pPr>
              <w:pStyle w:val="SJITableText"/>
            </w:pPr>
            <w:r w:rsidRPr="00E85211">
              <w:t>CATEGORY ONE</w:t>
            </w:r>
          </w:p>
        </w:tc>
        <w:tc>
          <w:tcPr>
            <w:tcW w:w="1904" w:type="pct"/>
          </w:tcPr>
          <w:p w14:paraId="21B75E31" w14:textId="77777777" w:rsidR="00BF77A1" w:rsidRPr="00E85211" w:rsidRDefault="00BF77A1" w:rsidP="003101E3">
            <w:pPr>
              <w:pStyle w:val="SJITableText"/>
            </w:pPr>
            <w:r w:rsidRPr="00E85211">
              <w:t>CATEGORY TWO</w:t>
            </w:r>
          </w:p>
        </w:tc>
        <w:tc>
          <w:tcPr>
            <w:tcW w:w="1042" w:type="pct"/>
          </w:tcPr>
          <w:p w14:paraId="12A549C8" w14:textId="77777777" w:rsidR="00BF77A1" w:rsidRPr="00E85211" w:rsidRDefault="00BF77A1" w:rsidP="003101E3">
            <w:pPr>
              <w:pStyle w:val="SJITableText"/>
            </w:pPr>
            <w:r w:rsidRPr="00E85211">
              <w:t>FLA. STAT.</w:t>
            </w:r>
          </w:p>
        </w:tc>
        <w:tc>
          <w:tcPr>
            <w:tcW w:w="805" w:type="pct"/>
          </w:tcPr>
          <w:p w14:paraId="6A0C382C" w14:textId="77777777" w:rsidR="00BF77A1" w:rsidRPr="00E85211" w:rsidRDefault="00BF77A1" w:rsidP="003101E3">
            <w:pPr>
              <w:pStyle w:val="SJITableText"/>
            </w:pPr>
            <w:r w:rsidRPr="00E85211">
              <w:t>INS. NO.</w:t>
            </w:r>
          </w:p>
        </w:tc>
      </w:tr>
      <w:tr w:rsidR="00BF77A1" w:rsidRPr="00E85211" w14:paraId="4284535D" w14:textId="77777777" w:rsidTr="00D40469">
        <w:tc>
          <w:tcPr>
            <w:tcW w:w="1249" w:type="pct"/>
          </w:tcPr>
          <w:p w14:paraId="69E61C4A" w14:textId="77777777" w:rsidR="00BF77A1" w:rsidRPr="00E85211" w:rsidRDefault="00BF77A1" w:rsidP="003101E3">
            <w:pPr>
              <w:pStyle w:val="SJITableText"/>
            </w:pPr>
            <w:r w:rsidRPr="00E85211">
              <w:t>None</w:t>
            </w:r>
          </w:p>
        </w:tc>
        <w:tc>
          <w:tcPr>
            <w:tcW w:w="1904" w:type="pct"/>
          </w:tcPr>
          <w:p w14:paraId="3BD83466" w14:textId="77777777" w:rsidR="00BF77A1" w:rsidRPr="00E85211" w:rsidRDefault="00BF77A1" w:rsidP="003101E3">
            <w:pPr>
              <w:pStyle w:val="SJITableText"/>
            </w:pPr>
          </w:p>
        </w:tc>
        <w:tc>
          <w:tcPr>
            <w:tcW w:w="1042" w:type="pct"/>
          </w:tcPr>
          <w:p w14:paraId="705F0E02" w14:textId="77777777" w:rsidR="00BF77A1" w:rsidRPr="00E85211" w:rsidRDefault="00BF77A1" w:rsidP="003101E3">
            <w:pPr>
              <w:pStyle w:val="SJITableText"/>
            </w:pPr>
          </w:p>
        </w:tc>
        <w:tc>
          <w:tcPr>
            <w:tcW w:w="805" w:type="pct"/>
          </w:tcPr>
          <w:p w14:paraId="09A96495" w14:textId="77777777" w:rsidR="00BF77A1" w:rsidRPr="00E85211" w:rsidRDefault="00BF77A1" w:rsidP="003101E3">
            <w:pPr>
              <w:pStyle w:val="SJITableText"/>
            </w:pPr>
          </w:p>
        </w:tc>
      </w:tr>
      <w:tr w:rsidR="00BF77A1" w:rsidRPr="00E85211" w14:paraId="2793D7CB" w14:textId="77777777" w:rsidTr="00D40469">
        <w:tc>
          <w:tcPr>
            <w:tcW w:w="1249" w:type="pct"/>
          </w:tcPr>
          <w:p w14:paraId="697EE934" w14:textId="77777777" w:rsidR="00BF77A1" w:rsidRPr="00E85211" w:rsidRDefault="00BF77A1" w:rsidP="003101E3">
            <w:pPr>
              <w:pStyle w:val="SJITableText"/>
            </w:pPr>
          </w:p>
        </w:tc>
        <w:tc>
          <w:tcPr>
            <w:tcW w:w="1904" w:type="pct"/>
          </w:tcPr>
          <w:p w14:paraId="44C5689A" w14:textId="77777777" w:rsidR="00BF77A1" w:rsidRPr="00E85211" w:rsidRDefault="00BF77A1" w:rsidP="003101E3">
            <w:pPr>
              <w:pStyle w:val="SJITableText"/>
            </w:pPr>
            <w:r w:rsidRPr="00E85211">
              <w:t>Unnatural and lascivious act*</w:t>
            </w:r>
          </w:p>
        </w:tc>
        <w:tc>
          <w:tcPr>
            <w:tcW w:w="1042" w:type="pct"/>
          </w:tcPr>
          <w:p w14:paraId="644AA752" w14:textId="77777777" w:rsidR="00BF77A1" w:rsidRPr="00E85211" w:rsidRDefault="00BF77A1" w:rsidP="003101E3">
            <w:pPr>
              <w:pStyle w:val="SJITableText"/>
            </w:pPr>
            <w:r w:rsidRPr="00E85211">
              <w:t>800.02*</w:t>
            </w:r>
          </w:p>
        </w:tc>
        <w:tc>
          <w:tcPr>
            <w:tcW w:w="805" w:type="pct"/>
          </w:tcPr>
          <w:p w14:paraId="1F01EAA7" w14:textId="77777777" w:rsidR="00BF77A1" w:rsidRPr="00E85211" w:rsidRDefault="00BF77A1" w:rsidP="003101E3">
            <w:pPr>
              <w:pStyle w:val="SJITableText"/>
            </w:pPr>
            <w:r w:rsidRPr="00E85211">
              <w:t>11.8*</w:t>
            </w:r>
          </w:p>
        </w:tc>
      </w:tr>
      <w:tr w:rsidR="00BF77A1" w:rsidRPr="00E85211" w14:paraId="7D659383" w14:textId="77777777" w:rsidTr="00D40469">
        <w:tc>
          <w:tcPr>
            <w:tcW w:w="1249" w:type="pct"/>
          </w:tcPr>
          <w:p w14:paraId="6DCA5964" w14:textId="77777777" w:rsidR="00BF77A1" w:rsidRPr="00E85211" w:rsidRDefault="00BF77A1" w:rsidP="003101E3">
            <w:pPr>
              <w:pStyle w:val="SJITableText"/>
            </w:pPr>
          </w:p>
        </w:tc>
        <w:tc>
          <w:tcPr>
            <w:tcW w:w="1904" w:type="pct"/>
          </w:tcPr>
          <w:p w14:paraId="06D43895" w14:textId="77777777" w:rsidR="00BF77A1" w:rsidRPr="00E85211" w:rsidRDefault="00BF77A1" w:rsidP="003101E3">
            <w:pPr>
              <w:pStyle w:val="SJITableText"/>
            </w:pPr>
            <w:r w:rsidRPr="00E85211">
              <w:t>Attempt</w:t>
            </w:r>
          </w:p>
        </w:tc>
        <w:tc>
          <w:tcPr>
            <w:tcW w:w="1042" w:type="pct"/>
          </w:tcPr>
          <w:p w14:paraId="168B6B4C" w14:textId="77777777" w:rsidR="00BF77A1" w:rsidRPr="00E85211" w:rsidRDefault="00BF77A1" w:rsidP="003101E3">
            <w:pPr>
              <w:pStyle w:val="SJITableText"/>
            </w:pPr>
            <w:r w:rsidRPr="00E85211">
              <w:t>777.04(1)</w:t>
            </w:r>
          </w:p>
        </w:tc>
        <w:tc>
          <w:tcPr>
            <w:tcW w:w="805" w:type="pct"/>
          </w:tcPr>
          <w:p w14:paraId="7D9FFACD" w14:textId="77777777" w:rsidR="00BF77A1" w:rsidRPr="00E85211" w:rsidRDefault="00BF77A1" w:rsidP="003101E3">
            <w:pPr>
              <w:pStyle w:val="SJITableText"/>
            </w:pPr>
            <w:r w:rsidRPr="00E85211">
              <w:t>5.1</w:t>
            </w:r>
          </w:p>
        </w:tc>
      </w:tr>
    </w:tbl>
    <w:p w14:paraId="3CD91156" w14:textId="77777777" w:rsidR="00BF77A1" w:rsidRDefault="00BF77A1" w:rsidP="00BF77A1">
      <w:pPr>
        <w:pStyle w:val="SJIComments"/>
      </w:pPr>
      <w:r w:rsidRPr="00E85211">
        <w:t>Comments</w:t>
      </w:r>
    </w:p>
    <w:p w14:paraId="6E7AD6BF" w14:textId="77777777" w:rsidR="00C8510B" w:rsidRPr="00D26515" w:rsidRDefault="00C8510B" w:rsidP="00D40469">
      <w:r w:rsidRPr="00D26515">
        <w:t xml:space="preserve">A second or subsequent offense </w:t>
      </w:r>
      <w:r w:rsidR="00056C07" w:rsidRPr="00D26515">
        <w:t xml:space="preserve">bumps </w:t>
      </w:r>
      <w:r w:rsidRPr="00D26515">
        <w:t xml:space="preserve">this crime </w:t>
      </w:r>
      <w:r w:rsidR="00056C07" w:rsidRPr="00D26515">
        <w:t xml:space="preserve">up to </w:t>
      </w:r>
      <w:r w:rsidRPr="00D26515">
        <w:t xml:space="preserve">a second-degree felony. As of </w:t>
      </w:r>
      <w:r w:rsidR="00D26515" w:rsidRPr="00D26515">
        <w:t>November</w:t>
      </w:r>
      <w:r w:rsidRPr="00D26515">
        <w:t xml:space="preserve"> 2022, it was unclear whether </w:t>
      </w:r>
      <w:r w:rsidR="00056C07" w:rsidRPr="00D26515">
        <w:t xml:space="preserve">the existence of </w:t>
      </w:r>
      <w:r w:rsidRPr="00D26515">
        <w:t xml:space="preserve">a prior is an element or a recidivist factor to be proven to the trial judge under a preponderance </w:t>
      </w:r>
      <w:r w:rsidR="00056C07" w:rsidRPr="00D26515">
        <w:t xml:space="preserve">of the evidence </w:t>
      </w:r>
      <w:r w:rsidRPr="00D26515">
        <w:t xml:space="preserve">standard at sentencing. Generally, it would </w:t>
      </w:r>
      <w:r w:rsidR="00056C07" w:rsidRPr="00D26515">
        <w:t xml:space="preserve">be </w:t>
      </w:r>
      <w:r w:rsidRPr="00D26515">
        <w:t>improper to allow the jury to hear about a prior</w:t>
      </w:r>
      <w:r w:rsidR="00056C07" w:rsidRPr="00D26515">
        <w:t xml:space="preserve">. </w:t>
      </w:r>
      <w:r w:rsidRPr="00D26515">
        <w:t>Therefore, if the information or indictment contains an allegation of one or more priors, do not read that allegation and do not send the information or indictment into the jury room. If the defendant is found guilty and if the prior is treated as an element, the historical fact of a pr</w:t>
      </w:r>
      <w:r w:rsidR="00056C07" w:rsidRPr="00D26515">
        <w:t xml:space="preserve">ior should </w:t>
      </w:r>
      <w:r w:rsidRPr="00D26515">
        <w:t xml:space="preserve">be determined </w:t>
      </w:r>
      <w:r w:rsidR="00056C07" w:rsidRPr="00D26515">
        <w:t xml:space="preserve">by the jury </w:t>
      </w:r>
      <w:r w:rsidRPr="00D26515">
        <w:t xml:space="preserve">beyond a reasonable doubt in a bifurcated proceeding. </w:t>
      </w:r>
      <w:r w:rsidRPr="00D26515">
        <w:rPr>
          <w:i/>
        </w:rPr>
        <w:t>State v. Harbaugh</w:t>
      </w:r>
      <w:r w:rsidRPr="00D26515">
        <w:t>, 754 So. 2d 691 (Fla. 2000).</w:t>
      </w:r>
    </w:p>
    <w:p w14:paraId="4DC1D1F6" w14:textId="77777777" w:rsidR="004D697B" w:rsidRDefault="00BF77A1" w:rsidP="00D40469">
      <w:r w:rsidRPr="00D26515">
        <w:t xml:space="preserve">*The courts do not require the State to allege the defendant’s act was “unnatural” or “against the laws of nature” for § 800.02, Fla. Stat., to be given as a lesser-included offense. If the sexual activity involved penile-vaginal sexual intercourse (or contact), § 800.02, Fla. Stat. should </w:t>
      </w:r>
      <w:r w:rsidRPr="00D26515">
        <w:rPr>
          <w:i/>
        </w:rPr>
        <w:t>not</w:t>
      </w:r>
      <w:r w:rsidRPr="00D26515">
        <w:t xml:space="preserve"> be given as a lesser-included offense. However, if the sexual activity involved something other than penile-vaginal sexual intercourse (or contact), § 800.02, Fla. Stat. should be given as a lesser-included offense. </w:t>
      </w:r>
      <w:r w:rsidRPr="00D26515">
        <w:rPr>
          <w:i/>
        </w:rPr>
        <w:t>See</w:t>
      </w:r>
      <w:r w:rsidRPr="00D26515">
        <w:t xml:space="preserve"> </w:t>
      </w:r>
      <w:r w:rsidRPr="00D26515">
        <w:rPr>
          <w:i/>
        </w:rPr>
        <w:t>State v. Knighton</w:t>
      </w:r>
      <w:r w:rsidRPr="00D26515">
        <w:t xml:space="preserve">, 235 So. 3d 312 (Fla. 2018). </w:t>
      </w:r>
    </w:p>
    <w:p w14:paraId="291F8E49" w14:textId="18F7C69D" w:rsidR="004D697B" w:rsidRPr="004D697B" w:rsidRDefault="004D697B" w:rsidP="00D40469">
      <w:r w:rsidRPr="004D697B">
        <w:t>*</w:t>
      </w:r>
      <w:r>
        <w:t>*</w:t>
      </w:r>
      <w:r w:rsidRPr="004D697B">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4D697B">
        <w:rPr>
          <w:i/>
          <w:iCs/>
        </w:rPr>
        <w:t xml:space="preserve">Flores v. State, </w:t>
      </w:r>
      <w:r w:rsidRPr="004D697B">
        <w:t xml:space="preserve">-- So. 3d -- (Fla. 4th DCA 2024) is an example of an appellate court finding fundamental error when the trial judge expanded the definition of “vaginal penetration” by instructing on “female genital penetration.”  </w:t>
      </w:r>
    </w:p>
    <w:p w14:paraId="1DDA61C6" w14:textId="2E16C4AF" w:rsidR="009435D1" w:rsidRDefault="00BF77A1">
      <w:r w:rsidRPr="00D26515">
        <w:t>This instruction was adopted in 2014 [146 So. 3d 1110] and amended in 2018</w:t>
      </w:r>
      <w:r w:rsidR="00F4594A" w:rsidRPr="00D26515">
        <w:t xml:space="preserve"> [257 So. 3d 370], and </w:t>
      </w:r>
      <w:r w:rsidR="00D26515" w:rsidRPr="00D26515">
        <w:t>December 21,</w:t>
      </w:r>
      <w:r w:rsidR="00F4594A" w:rsidRPr="00D26515">
        <w:t xml:space="preserve"> 2022</w:t>
      </w:r>
      <w:r w:rsidRPr="00D26515">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45369448">
    <w:abstractNumId w:val="1"/>
  </w:num>
  <w:num w:numId="2" w16cid:durableId="1409882956">
    <w:abstractNumId w:val="0"/>
  </w:num>
  <w:num w:numId="3" w16cid:durableId="173238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A1"/>
    <w:rsid w:val="00056C07"/>
    <w:rsid w:val="00276059"/>
    <w:rsid w:val="003101E3"/>
    <w:rsid w:val="003E05DE"/>
    <w:rsid w:val="004D697B"/>
    <w:rsid w:val="005C28A2"/>
    <w:rsid w:val="005F0F8D"/>
    <w:rsid w:val="00784048"/>
    <w:rsid w:val="007D1EBA"/>
    <w:rsid w:val="00936D7B"/>
    <w:rsid w:val="009435D1"/>
    <w:rsid w:val="00AE214A"/>
    <w:rsid w:val="00BF77A1"/>
    <w:rsid w:val="00C8510B"/>
    <w:rsid w:val="00CA0FED"/>
    <w:rsid w:val="00D26515"/>
    <w:rsid w:val="00D40469"/>
    <w:rsid w:val="00DA7290"/>
    <w:rsid w:val="00E85211"/>
    <w:rsid w:val="00F0696B"/>
    <w:rsid w:val="00F4594A"/>
    <w:rsid w:val="00FC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B1279"/>
  <w14:defaultImageDpi w14:val="0"/>
  <w15:docId w15:val="{53DB575F-BB55-41A0-99ED-113A96A2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A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F77A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F77A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F77A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F77A1"/>
    <w:pPr>
      <w:outlineLvl w:val="3"/>
    </w:pPr>
  </w:style>
  <w:style w:type="paragraph" w:styleId="Heading5">
    <w:name w:val="heading 5"/>
    <w:basedOn w:val="Normal"/>
    <w:next w:val="Normal"/>
    <w:link w:val="Heading5Char"/>
    <w:uiPriority w:val="9"/>
    <w:qFormat/>
    <w:rsid w:val="00BF77A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F77A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F77A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F77A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F77A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77A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F77A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F77A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F77A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F77A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F77A1"/>
    <w:rPr>
      <w:rFonts w:ascii="Times New Roman" w:hAnsi="Times New Roman" w:cs="Times New Roman"/>
      <w:b/>
      <w:bCs/>
    </w:rPr>
  </w:style>
  <w:style w:type="character" w:customStyle="1" w:styleId="Heading7Char">
    <w:name w:val="Heading 7 Char"/>
    <w:basedOn w:val="DefaultParagraphFont"/>
    <w:link w:val="Heading7"/>
    <w:uiPriority w:val="9"/>
    <w:locked/>
    <w:rsid w:val="00BF77A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F77A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F77A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F77A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F77A1"/>
    <w:pPr>
      <w:tabs>
        <w:tab w:val="left" w:pos="720"/>
      </w:tabs>
      <w:suppressAutoHyphens/>
      <w:spacing w:after="0"/>
    </w:pPr>
    <w:rPr>
      <w:rFonts w:cs="Times New Roman"/>
      <w:i/>
      <w:iCs/>
      <w:szCs w:val="24"/>
    </w:rPr>
  </w:style>
  <w:style w:type="paragraph" w:customStyle="1" w:styleId="SJITableText">
    <w:name w:val="SJI Table Text"/>
    <w:basedOn w:val="Normal"/>
    <w:qFormat/>
    <w:rsid w:val="00BF77A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F77A1"/>
    <w:pPr>
      <w:spacing w:before="220"/>
      <w:ind w:firstLine="0"/>
      <w:jc w:val="center"/>
    </w:pPr>
    <w:rPr>
      <w:rFonts w:cs="Courier New"/>
      <w:b/>
    </w:rPr>
  </w:style>
  <w:style w:type="table" w:customStyle="1" w:styleId="TableGrid1">
    <w:name w:val="Table Grid1"/>
    <w:basedOn w:val="TableNormal"/>
    <w:next w:val="TableGrid"/>
    <w:uiPriority w:val="99"/>
    <w:rsid w:val="00BF77A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F77A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F77A1"/>
    <w:pPr>
      <w:widowControl w:val="0"/>
      <w:autoSpaceDE w:val="0"/>
      <w:autoSpaceDN w:val="0"/>
      <w:adjustRightInd w:val="0"/>
      <w:ind w:left="1296" w:hanging="576"/>
    </w:pPr>
    <w:rPr>
      <w:rFonts w:cs="Times New Roman"/>
    </w:rPr>
  </w:style>
  <w:style w:type="character" w:customStyle="1" w:styleId="SJIBold">
    <w:name w:val="SJI Bold"/>
    <w:uiPriority w:val="1"/>
    <w:qFormat/>
    <w:rsid w:val="00BF77A1"/>
    <w:rPr>
      <w:b/>
    </w:rPr>
  </w:style>
  <w:style w:type="paragraph" w:customStyle="1" w:styleId="SJIText">
    <w:name w:val="SJI Text"/>
    <w:basedOn w:val="Normal"/>
    <w:next w:val="Normal"/>
    <w:qFormat/>
    <w:rsid w:val="00BF77A1"/>
    <w:rPr>
      <w:rFonts w:cs="Times New Roman"/>
    </w:rPr>
  </w:style>
  <w:style w:type="paragraph" w:customStyle="1" w:styleId="SJITableTitle">
    <w:name w:val="SJI Table Title"/>
    <w:basedOn w:val="Normal"/>
    <w:qFormat/>
    <w:rsid w:val="00BF77A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F77A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F77A1"/>
    <w:pPr>
      <w:numPr>
        <w:numId w:val="3"/>
      </w:numPr>
    </w:pPr>
    <w:rPr>
      <w:rFonts w:cs="Times New Roman"/>
    </w:rPr>
  </w:style>
  <w:style w:type="paragraph" w:styleId="ListParagraph">
    <w:name w:val="List Paragraph"/>
    <w:basedOn w:val="Normal"/>
    <w:uiPriority w:val="34"/>
    <w:qFormat/>
    <w:rsid w:val="00BF77A1"/>
    <w:pPr>
      <w:ind w:left="720"/>
    </w:pPr>
  </w:style>
  <w:style w:type="paragraph" w:customStyle="1" w:styleId="SJITableNotation">
    <w:name w:val="SJI Table Notation"/>
    <w:basedOn w:val="SJITableText"/>
    <w:qFormat/>
    <w:rsid w:val="00BF77A1"/>
    <w:pPr>
      <w:spacing w:before="120" w:after="240"/>
    </w:pPr>
  </w:style>
  <w:style w:type="character" w:customStyle="1" w:styleId="SJIUnderline">
    <w:name w:val="SJI Underline"/>
    <w:uiPriority w:val="1"/>
    <w:qFormat/>
    <w:rsid w:val="00BF77A1"/>
    <w:rPr>
      <w:rFonts w:ascii="Times New Roman" w:hAnsi="Times New Roman"/>
      <w:sz w:val="28"/>
      <w:u w:val="single"/>
    </w:rPr>
  </w:style>
  <w:style w:type="paragraph" w:styleId="Caption">
    <w:name w:val="caption"/>
    <w:basedOn w:val="Normal"/>
    <w:next w:val="Normal"/>
    <w:uiPriority w:val="35"/>
    <w:semiHidden/>
    <w:unhideWhenUsed/>
    <w:qFormat/>
    <w:rsid w:val="00BF77A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F77A1"/>
    <w:pPr>
      <w:jc w:val="center"/>
    </w:pPr>
    <w:rPr>
      <w:rFonts w:cs="Times New Roman"/>
      <w:b/>
      <w:bCs/>
      <w:sz w:val="28"/>
      <w:szCs w:val="28"/>
    </w:rPr>
  </w:style>
  <w:style w:type="character" w:customStyle="1" w:styleId="TitleChar">
    <w:name w:val="Title Char"/>
    <w:basedOn w:val="DefaultParagraphFont"/>
    <w:link w:val="Title"/>
    <w:uiPriority w:val="10"/>
    <w:locked/>
    <w:rsid w:val="00BF77A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F77A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F77A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F77A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F77A1"/>
    <w:rPr>
      <w:rFonts w:ascii="Bookman Old Style" w:hAnsi="Bookman Old Style" w:cs="Times New Roman"/>
      <w:color w:val="000000"/>
    </w:rPr>
  </w:style>
  <w:style w:type="paragraph" w:styleId="Quote">
    <w:name w:val="Quote"/>
    <w:basedOn w:val="Normal"/>
    <w:next w:val="Normal"/>
    <w:link w:val="QuoteChar"/>
    <w:uiPriority w:val="29"/>
    <w:qFormat/>
    <w:rsid w:val="00BF77A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F77A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F77A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F77A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F77A1"/>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633493">
      <w:marLeft w:val="0"/>
      <w:marRight w:val="0"/>
      <w:marTop w:val="0"/>
      <w:marBottom w:val="0"/>
      <w:divBdr>
        <w:top w:val="none" w:sz="0" w:space="0" w:color="auto"/>
        <w:left w:val="none" w:sz="0" w:space="0" w:color="auto"/>
        <w:bottom w:val="none" w:sz="0" w:space="0" w:color="auto"/>
        <w:right w:val="none" w:sz="0" w:space="0" w:color="auto"/>
      </w:divBdr>
    </w:div>
    <w:div w:id="377633494">
      <w:marLeft w:val="0"/>
      <w:marRight w:val="0"/>
      <w:marTop w:val="0"/>
      <w:marBottom w:val="0"/>
      <w:divBdr>
        <w:top w:val="none" w:sz="0" w:space="0" w:color="auto"/>
        <w:left w:val="none" w:sz="0" w:space="0" w:color="auto"/>
        <w:bottom w:val="none" w:sz="0" w:space="0" w:color="auto"/>
        <w:right w:val="none" w:sz="0" w:space="0" w:color="auto"/>
      </w:divBdr>
    </w:div>
    <w:div w:id="377633495">
      <w:marLeft w:val="0"/>
      <w:marRight w:val="0"/>
      <w:marTop w:val="0"/>
      <w:marBottom w:val="0"/>
      <w:divBdr>
        <w:top w:val="none" w:sz="0" w:space="0" w:color="auto"/>
        <w:left w:val="none" w:sz="0" w:space="0" w:color="auto"/>
        <w:bottom w:val="none" w:sz="0" w:space="0" w:color="auto"/>
        <w:right w:val="none" w:sz="0" w:space="0" w:color="auto"/>
      </w:divBdr>
    </w:div>
    <w:div w:id="7959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3500</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2024-09-23T19:15:00Z</dcterms:created>
  <dcterms:modified xsi:type="dcterms:W3CDTF">2024-09-24T20:05:00Z</dcterms:modified>
</cp:coreProperties>
</file>