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85E38" w14:textId="7DBC3948" w:rsidR="0010486B" w:rsidRPr="00856DA8" w:rsidRDefault="0010486B" w:rsidP="0010486B">
      <w:pPr>
        <w:pStyle w:val="Heading3"/>
      </w:pPr>
      <w:bookmarkStart w:id="0" w:name="_Toc520107343"/>
      <w:bookmarkStart w:id="1" w:name="_Toc520195253"/>
      <w:bookmarkStart w:id="2" w:name="_Toc109650485"/>
      <w:bookmarkStart w:id="3" w:name="_Toc109807679"/>
      <w:r w:rsidRPr="00856DA8">
        <w:t xml:space="preserve">11.11 LEWD OR LASCIVIOUS </w:t>
      </w:r>
      <w:r w:rsidR="009A1B11" w:rsidRPr="00ED56E8">
        <w:t xml:space="preserve">[BATTERY] [MOLESTATION] </w:t>
      </w:r>
      <w:r w:rsidR="00ED56E8" w:rsidRPr="00ED56E8">
        <w:t>[</w:t>
      </w:r>
      <w:r w:rsidR="009A1B11" w:rsidRPr="00ED56E8">
        <w:t xml:space="preserve">EXHIBITION] </w:t>
      </w:r>
      <w:r w:rsidRPr="00856DA8">
        <w:t>COMMITTED UPON OR IN THE PRESENCE OF AN ELDERLY PERSON OR DISABLED PERSON</w:t>
      </w:r>
      <w:bookmarkEnd w:id="0"/>
      <w:bookmarkEnd w:id="1"/>
      <w:bookmarkEnd w:id="2"/>
      <w:bookmarkEnd w:id="3"/>
    </w:p>
    <w:p w14:paraId="6183720B" w14:textId="4BC22E4E" w:rsidR="0010486B" w:rsidRPr="00856DA8" w:rsidRDefault="0010486B" w:rsidP="0010486B">
      <w:pPr>
        <w:pStyle w:val="SJIStatuteinTitle"/>
      </w:pPr>
      <w:r w:rsidRPr="00856DA8">
        <w:t>§ 825.1025, Fla. Stat.</w:t>
      </w:r>
      <w:r w:rsidR="008840A3">
        <w:t>**</w:t>
      </w:r>
    </w:p>
    <w:p w14:paraId="0ABAF8D3" w14:textId="77777777" w:rsidR="0010486B" w:rsidRPr="00856DA8" w:rsidRDefault="0010486B" w:rsidP="0010486B">
      <w:pPr>
        <w:tabs>
          <w:tab w:val="left" w:pos="720"/>
        </w:tabs>
        <w:suppressAutoHyphens/>
        <w:rPr>
          <w:b/>
          <w:bCs/>
        </w:rPr>
      </w:pPr>
      <w:r w:rsidRPr="00856DA8">
        <w:rPr>
          <w:b/>
          <w:bCs/>
        </w:rPr>
        <w:t>To prove the crime of [Lewd or Lascivious Battery] [Lewd or Lascivious Molestation] [Lewd or Lascivious Exhibition] upon or in the Presence of an [Elderly Person] [Disabled Person], the State must prove the following three elements beyond a reasonable doubt:</w:t>
      </w:r>
    </w:p>
    <w:p w14:paraId="41E86E8D" w14:textId="77777777" w:rsidR="0010486B" w:rsidRPr="00856DA8" w:rsidRDefault="0010486B" w:rsidP="0010486B">
      <w:pPr>
        <w:pStyle w:val="SJITextItalic"/>
      </w:pPr>
      <w:r>
        <w:t>Give</w:t>
      </w:r>
      <w:r w:rsidRPr="00856DA8">
        <w:t xml:space="preserve"> 1a, 1b, or 1c as applicable.</w:t>
      </w:r>
    </w:p>
    <w:p w14:paraId="0CE5DE09" w14:textId="77777777" w:rsidR="0010486B" w:rsidRDefault="0010486B" w:rsidP="0010486B">
      <w:pPr>
        <w:suppressAutoHyphens/>
        <w:ind w:left="1440" w:hanging="720"/>
        <w:rPr>
          <w:b/>
          <w:bCs/>
        </w:rPr>
      </w:pPr>
      <w:r w:rsidRPr="00856DA8">
        <w:rPr>
          <w:b/>
          <w:bCs/>
        </w:rPr>
        <w:t>1. a.</w:t>
      </w:r>
      <w:r w:rsidRPr="00856DA8">
        <w:rPr>
          <w:b/>
          <w:bCs/>
        </w:rPr>
        <w:tab/>
      </w:r>
      <w:r w:rsidRPr="00856DA8">
        <w:rPr>
          <w:bCs/>
        </w:rPr>
        <w:t>(Defendant)</w:t>
      </w:r>
      <w:r w:rsidRPr="00856DA8">
        <w:rPr>
          <w:b/>
          <w:bCs/>
        </w:rPr>
        <w:t xml:space="preserve"> committed </w:t>
      </w:r>
      <w:r w:rsidR="00ED56E8">
        <w:rPr>
          <w:b/>
          <w:bCs/>
        </w:rPr>
        <w:t>L</w:t>
      </w:r>
      <w:r w:rsidRPr="00856DA8">
        <w:rPr>
          <w:b/>
          <w:bCs/>
        </w:rPr>
        <w:t xml:space="preserve">ewd and </w:t>
      </w:r>
      <w:r w:rsidR="00ED56E8">
        <w:rPr>
          <w:b/>
          <w:bCs/>
        </w:rPr>
        <w:t>L</w:t>
      </w:r>
      <w:r w:rsidRPr="00856DA8">
        <w:rPr>
          <w:b/>
          <w:bCs/>
        </w:rPr>
        <w:t xml:space="preserve">ascivious </w:t>
      </w:r>
      <w:r w:rsidR="00ED56E8">
        <w:rPr>
          <w:b/>
          <w:bCs/>
        </w:rPr>
        <w:t>B</w:t>
      </w:r>
      <w:r w:rsidRPr="00856DA8">
        <w:rPr>
          <w:b/>
          <w:bCs/>
        </w:rPr>
        <w:t xml:space="preserve">attery by encouraging, forcing, or enticing </w:t>
      </w:r>
      <w:r w:rsidRPr="00856DA8">
        <w:rPr>
          <w:bCs/>
        </w:rPr>
        <w:t>(victim)</w:t>
      </w:r>
      <w:r w:rsidRPr="00856DA8">
        <w:rPr>
          <w:b/>
          <w:bCs/>
        </w:rPr>
        <w:t xml:space="preserve"> to engage in [sadomasochistic abuse] [sexual bestiality] [prostitution] [any act involving sexual activity].</w:t>
      </w:r>
    </w:p>
    <w:p w14:paraId="6983A555" w14:textId="77777777" w:rsidR="0010486B" w:rsidRPr="00856DA8" w:rsidRDefault="0010486B" w:rsidP="0010486B">
      <w:pPr>
        <w:suppressAutoHyphens/>
        <w:spacing w:before="240"/>
        <w:ind w:left="1440" w:hanging="490"/>
        <w:rPr>
          <w:b/>
          <w:bCs/>
        </w:rPr>
      </w:pPr>
      <w:r w:rsidRPr="00856DA8">
        <w:rPr>
          <w:b/>
          <w:bCs/>
        </w:rPr>
        <w:t>b.</w:t>
      </w:r>
      <w:r w:rsidRPr="00856DA8">
        <w:rPr>
          <w:b/>
          <w:bCs/>
        </w:rPr>
        <w:tab/>
      </w:r>
      <w:r w:rsidRPr="002B122F">
        <w:t>(Defendant)</w:t>
      </w:r>
      <w:r w:rsidRPr="00856DA8">
        <w:rPr>
          <w:b/>
          <w:bCs/>
        </w:rPr>
        <w:t xml:space="preserve"> committed </w:t>
      </w:r>
      <w:r w:rsidR="00ED56E8">
        <w:rPr>
          <w:b/>
          <w:bCs/>
        </w:rPr>
        <w:t>L</w:t>
      </w:r>
      <w:r w:rsidRPr="00856DA8">
        <w:rPr>
          <w:b/>
          <w:bCs/>
        </w:rPr>
        <w:t xml:space="preserve">ewd and </w:t>
      </w:r>
      <w:r w:rsidR="00ED56E8">
        <w:rPr>
          <w:b/>
          <w:bCs/>
        </w:rPr>
        <w:t>L</w:t>
      </w:r>
      <w:r w:rsidRPr="00856DA8">
        <w:rPr>
          <w:b/>
          <w:bCs/>
        </w:rPr>
        <w:t xml:space="preserve">ascivious </w:t>
      </w:r>
      <w:r w:rsidR="00ED56E8">
        <w:rPr>
          <w:b/>
          <w:bCs/>
        </w:rPr>
        <w:t>M</w:t>
      </w:r>
      <w:r w:rsidRPr="00856DA8">
        <w:rPr>
          <w:b/>
          <w:bCs/>
        </w:rPr>
        <w:t xml:space="preserve">olestation of </w:t>
      </w:r>
      <w:r w:rsidRPr="002B122F">
        <w:t>(victim)</w:t>
      </w:r>
      <w:r w:rsidRPr="00856DA8">
        <w:rPr>
          <w:b/>
          <w:bCs/>
        </w:rPr>
        <w:t xml:space="preserve"> by intentionally touching, in a lewd and lascivious manner, [his] [her] [breasts] [genitals] [genital area] [buttocks] [clothing covering [his] [her] [breasts] [genitals] [genital area] [buttocks]].</w:t>
      </w:r>
    </w:p>
    <w:p w14:paraId="7A6A9234" w14:textId="77777777" w:rsidR="0010486B" w:rsidRPr="00856DA8" w:rsidRDefault="0010486B" w:rsidP="0010486B">
      <w:pPr>
        <w:suppressAutoHyphens/>
        <w:ind w:left="1440" w:hanging="495"/>
        <w:rPr>
          <w:b/>
          <w:bCs/>
        </w:rPr>
      </w:pPr>
      <w:r w:rsidRPr="00856DA8">
        <w:rPr>
          <w:b/>
          <w:bCs/>
        </w:rPr>
        <w:t>c.</w:t>
      </w:r>
      <w:r w:rsidRPr="00856DA8">
        <w:rPr>
          <w:b/>
          <w:bCs/>
        </w:rPr>
        <w:tab/>
      </w:r>
      <w:r w:rsidRPr="00856DA8">
        <w:rPr>
          <w:bCs/>
        </w:rPr>
        <w:t>(Defendant)</w:t>
      </w:r>
      <w:r w:rsidRPr="00856DA8">
        <w:rPr>
          <w:b/>
          <w:bCs/>
        </w:rPr>
        <w:t xml:space="preserve"> committed </w:t>
      </w:r>
      <w:r w:rsidR="00ED56E8">
        <w:rPr>
          <w:b/>
          <w:bCs/>
        </w:rPr>
        <w:t>L</w:t>
      </w:r>
      <w:r w:rsidRPr="00856DA8">
        <w:rPr>
          <w:b/>
          <w:bCs/>
        </w:rPr>
        <w:t xml:space="preserve">ewd and </w:t>
      </w:r>
      <w:r w:rsidR="00ED56E8">
        <w:rPr>
          <w:b/>
          <w:bCs/>
        </w:rPr>
        <w:t>L</w:t>
      </w:r>
      <w:r w:rsidRPr="00856DA8">
        <w:rPr>
          <w:b/>
          <w:bCs/>
        </w:rPr>
        <w:t xml:space="preserve">ascivious </w:t>
      </w:r>
      <w:r w:rsidR="00ED56E8">
        <w:rPr>
          <w:b/>
          <w:bCs/>
        </w:rPr>
        <w:t>E</w:t>
      </w:r>
      <w:r w:rsidRPr="00856DA8">
        <w:rPr>
          <w:b/>
          <w:bCs/>
        </w:rPr>
        <w:t xml:space="preserve">xhibition to </w:t>
      </w:r>
      <w:r w:rsidRPr="00856DA8">
        <w:rPr>
          <w:bCs/>
        </w:rPr>
        <w:t>(victim)</w:t>
      </w:r>
      <w:r w:rsidRPr="00856DA8">
        <w:rPr>
          <w:b/>
          <w:bCs/>
        </w:rPr>
        <w:t xml:space="preserve"> by intentionally [masturbating] [exposing [his] [her] genitals in a </w:t>
      </w:r>
      <w:r w:rsidR="00ED56E8">
        <w:rPr>
          <w:b/>
          <w:bCs/>
        </w:rPr>
        <w:t xml:space="preserve">lewd or </w:t>
      </w:r>
      <w:r w:rsidRPr="00856DA8">
        <w:rPr>
          <w:b/>
          <w:bCs/>
        </w:rPr>
        <w:t xml:space="preserve">lascivious manner] [committing any other lewd or lascivious act not involving physical or sexual contact with </w:t>
      </w:r>
      <w:r w:rsidRPr="00856DA8">
        <w:rPr>
          <w:bCs/>
        </w:rPr>
        <w:t>(victim)</w:t>
      </w:r>
      <w:r w:rsidRPr="00856DA8">
        <w:rPr>
          <w:b/>
          <w:bCs/>
        </w:rPr>
        <w:t xml:space="preserve"> including but not limited to [sadomasochistic abuse] [sexual bestiality] [the simulation of any act involving sexual activity]].</w:t>
      </w:r>
    </w:p>
    <w:p w14:paraId="6577DD68" w14:textId="77777777" w:rsidR="0010486B" w:rsidRDefault="0010486B" w:rsidP="0010486B">
      <w:pPr>
        <w:ind w:left="1440" w:hanging="720"/>
        <w:rPr>
          <w:b/>
        </w:rPr>
      </w:pPr>
      <w:r w:rsidRPr="00856DA8">
        <w:rPr>
          <w:b/>
        </w:rPr>
        <w:t>2.</w:t>
      </w:r>
      <w:r w:rsidRPr="00856DA8">
        <w:rPr>
          <w:b/>
        </w:rPr>
        <w:tab/>
        <w:t xml:space="preserve">At the time, </w:t>
      </w:r>
      <w:r w:rsidRPr="00856DA8">
        <w:t>(victim)</w:t>
      </w:r>
      <w:r w:rsidRPr="00856DA8">
        <w:rPr>
          <w:b/>
        </w:rPr>
        <w:t xml:space="preserve"> was [</w:t>
      </w:r>
      <w:proofErr w:type="gramStart"/>
      <w:r w:rsidRPr="00856DA8">
        <w:rPr>
          <w:b/>
        </w:rPr>
        <w:t>an elderly</w:t>
      </w:r>
      <w:proofErr w:type="gramEnd"/>
      <w:r w:rsidRPr="00856DA8">
        <w:rPr>
          <w:b/>
        </w:rPr>
        <w:t>] [a disabled] person.</w:t>
      </w:r>
    </w:p>
    <w:p w14:paraId="4275DD2F" w14:textId="77777777" w:rsidR="0010486B" w:rsidRPr="00856DA8" w:rsidRDefault="0010486B" w:rsidP="0010486B">
      <w:pPr>
        <w:pStyle w:val="SJITextItalic"/>
      </w:pPr>
      <w:r w:rsidRPr="00856DA8">
        <w:t>The bracketed portion of element #3 pertains only to element 1c.</w:t>
      </w:r>
    </w:p>
    <w:p w14:paraId="3EB33E53" w14:textId="77777777" w:rsidR="0010486B" w:rsidRPr="00856DA8" w:rsidRDefault="0010486B" w:rsidP="0010486B">
      <w:pPr>
        <w:ind w:left="1440" w:hanging="720"/>
        <w:rPr>
          <w:b/>
        </w:rPr>
      </w:pPr>
      <w:r w:rsidRPr="00856DA8">
        <w:rPr>
          <w:b/>
        </w:rPr>
        <w:t>3.</w:t>
      </w:r>
      <w:r w:rsidRPr="00856DA8">
        <w:rPr>
          <w:b/>
        </w:rPr>
        <w:tab/>
        <w:t>At the time</w:t>
      </w:r>
      <w:r w:rsidRPr="00006791">
        <w:rPr>
          <w:b/>
        </w:rPr>
        <w:t>,</w:t>
      </w:r>
      <w:r w:rsidRPr="00856DA8">
        <w:rPr>
          <w:b/>
        </w:rPr>
        <w:t xml:space="preserve"> </w:t>
      </w:r>
      <w:r w:rsidRPr="00856DA8">
        <w:t>(defendant)</w:t>
      </w:r>
      <w:r w:rsidRPr="00856DA8">
        <w:rPr>
          <w:b/>
        </w:rPr>
        <w:t xml:space="preserve"> knew or reasonably should have known that </w:t>
      </w:r>
      <w:r w:rsidRPr="00856DA8">
        <w:t>(victim)</w:t>
      </w:r>
      <w:r w:rsidRPr="00856DA8">
        <w:rPr>
          <w:b/>
        </w:rPr>
        <w:t xml:space="preserve"> lacked the capacity to consent or failed to give consent [to have the act committed in [his] [her] presence].</w:t>
      </w:r>
    </w:p>
    <w:p w14:paraId="7D6ABF5B" w14:textId="77777777" w:rsidR="0010486B" w:rsidRPr="00856DA8" w:rsidRDefault="0010486B" w:rsidP="0010486B">
      <w:pPr>
        <w:pStyle w:val="SJITextItalic"/>
      </w:pPr>
      <w:r w:rsidRPr="00856DA8">
        <w:t xml:space="preserve">Definitions. Give as applicable. </w:t>
      </w:r>
    </w:p>
    <w:p w14:paraId="033BF1A9" w14:textId="77777777" w:rsidR="0010486B" w:rsidRPr="00856DA8" w:rsidRDefault="0010486B" w:rsidP="0010486B">
      <w:pPr>
        <w:tabs>
          <w:tab w:val="left" w:pos="720"/>
        </w:tabs>
        <w:suppressAutoHyphens/>
        <w:rPr>
          <w:b/>
          <w:bCs/>
        </w:rPr>
      </w:pPr>
      <w:r w:rsidRPr="00856DA8">
        <w:rPr>
          <w:b/>
          <w:bCs/>
        </w:rPr>
        <w:t>The words “lewd” and “lascivious” mean the same thing; a wicked, lustful, unchaste, licentious, or sensual intent on the part of the person doing an act.</w:t>
      </w:r>
    </w:p>
    <w:p w14:paraId="2DB28D94" w14:textId="77777777" w:rsidR="0010486B" w:rsidRPr="00856DA8" w:rsidRDefault="0010486B" w:rsidP="0010486B">
      <w:pPr>
        <w:pStyle w:val="SJITextItalic"/>
      </w:pPr>
      <w:r>
        <w:t>§ 825.101</w:t>
      </w:r>
      <w:r w:rsidRPr="00006791">
        <w:t>,</w:t>
      </w:r>
      <w:r>
        <w:t xml:space="preserve"> Fla. Stat.</w:t>
      </w:r>
    </w:p>
    <w:p w14:paraId="35EE2E8D" w14:textId="77777777" w:rsidR="0010486B" w:rsidRPr="00856DA8" w:rsidRDefault="0010486B" w:rsidP="0010486B">
      <w:pPr>
        <w:tabs>
          <w:tab w:val="left" w:pos="720"/>
        </w:tabs>
        <w:suppressAutoHyphens/>
        <w:rPr>
          <w:b/>
          <w:bCs/>
        </w:rPr>
      </w:pPr>
      <w:r w:rsidRPr="00856DA8">
        <w:rPr>
          <w:b/>
          <w:bCs/>
        </w:rPr>
        <w:t>“Disabled adult” means a person 18 years of age or older who suffers from a condition of physical or mental incapacitation due to a developmental disability, organic brain damage, or mental illness, or who has one or more physical or mental limitations that restrict the person’s ability to perform the normal activities of daily living.</w:t>
      </w:r>
    </w:p>
    <w:p w14:paraId="0D7CA228" w14:textId="77777777" w:rsidR="0010486B" w:rsidRPr="00856DA8" w:rsidRDefault="0010486B" w:rsidP="0010486B">
      <w:pPr>
        <w:pStyle w:val="SJITextItalic"/>
      </w:pPr>
      <w:r>
        <w:t>§ 825.101</w:t>
      </w:r>
      <w:r w:rsidRPr="00006791">
        <w:t>,</w:t>
      </w:r>
      <w:r>
        <w:t xml:space="preserve"> Fla. Stat.</w:t>
      </w:r>
    </w:p>
    <w:p w14:paraId="01657E39" w14:textId="77777777" w:rsidR="0010486B" w:rsidRPr="00856DA8" w:rsidRDefault="0010486B" w:rsidP="0010486B">
      <w:pPr>
        <w:tabs>
          <w:tab w:val="left" w:pos="720"/>
        </w:tabs>
        <w:suppressAutoHyphens/>
        <w:rPr>
          <w:b/>
          <w:bCs/>
        </w:rPr>
      </w:pPr>
      <w:r w:rsidRPr="00856DA8">
        <w:rPr>
          <w:b/>
          <w:bCs/>
        </w:rPr>
        <w:t xml:space="preserve">“Elderly person” means a person 60 years of age or older who is suffering from the infirmities of aging as manifested by advanced age or organic brain </w:t>
      </w:r>
      <w:r w:rsidRPr="00856DA8">
        <w:rPr>
          <w:b/>
          <w:bCs/>
        </w:rPr>
        <w:lastRenderedPageBreak/>
        <w:t xml:space="preserve">damage, or other physical, mental, or emotional </w:t>
      </w:r>
      <w:proofErr w:type="spellStart"/>
      <w:r w:rsidRPr="00856DA8">
        <w:rPr>
          <w:b/>
          <w:bCs/>
        </w:rPr>
        <w:t>dysfunctioning</w:t>
      </w:r>
      <w:proofErr w:type="spellEnd"/>
      <w:r w:rsidRPr="00856DA8">
        <w:rPr>
          <w:b/>
          <w:bCs/>
        </w:rPr>
        <w:t>, to the extent that the ability of the person to provide adequately for the person’s care or protection is impaired.</w:t>
      </w:r>
    </w:p>
    <w:p w14:paraId="2DA81232" w14:textId="77777777" w:rsidR="0010486B" w:rsidRPr="00856DA8" w:rsidRDefault="0010486B" w:rsidP="0010486B">
      <w:pPr>
        <w:pStyle w:val="SJITextItalic"/>
      </w:pPr>
      <w:r>
        <w:t>§ 825.101</w:t>
      </w:r>
      <w:r w:rsidRPr="00006791">
        <w:t>,</w:t>
      </w:r>
      <w:r>
        <w:t xml:space="preserve"> Fla. Stat.</w:t>
      </w:r>
    </w:p>
    <w:p w14:paraId="23CED891" w14:textId="77777777" w:rsidR="0010486B" w:rsidRPr="00856DA8" w:rsidRDefault="0010486B" w:rsidP="0010486B">
      <w:pPr>
        <w:tabs>
          <w:tab w:val="left" w:pos="720"/>
        </w:tabs>
        <w:suppressAutoHyphens/>
        <w:rPr>
          <w:b/>
          <w:bCs/>
        </w:rPr>
      </w:pPr>
      <w:r w:rsidRPr="00856DA8">
        <w:rPr>
          <w:b/>
          <w:bCs/>
        </w:rPr>
        <w:t>“Lacks capacity to consent” means an impairment by reason of mental illness, developmental disability, organic brain disorder, physical illness or disability, chronic use of drugs, chronic intoxication, short-term memory loss, or other cause, that causes an</w:t>
      </w:r>
      <w:r>
        <w:rPr>
          <w:b/>
          <w:bCs/>
        </w:rPr>
        <w:t xml:space="preserve"> </w:t>
      </w:r>
      <w:r w:rsidRPr="00856DA8">
        <w:rPr>
          <w:b/>
          <w:bCs/>
        </w:rPr>
        <w:t>elderly person or disabled adult to lack sufficient understanding or capacity to make or communicate reasonable decisions concerning the elderly person’s or disabled adult’s person or property.</w:t>
      </w:r>
    </w:p>
    <w:p w14:paraId="5156EDD5" w14:textId="77777777" w:rsidR="0010486B" w:rsidRPr="00856DA8" w:rsidRDefault="0010486B" w:rsidP="0010486B">
      <w:pPr>
        <w:pStyle w:val="SJITextItalic"/>
      </w:pPr>
      <w:r>
        <w:t>§ 847.001</w:t>
      </w:r>
      <w:r w:rsidRPr="00006791">
        <w:t>,</w:t>
      </w:r>
      <w:r>
        <w:t xml:space="preserve"> Fla. Stat.</w:t>
      </w:r>
    </w:p>
    <w:p w14:paraId="0EEEDA96" w14:textId="77777777" w:rsidR="0010486B" w:rsidRPr="00856DA8" w:rsidRDefault="0010486B" w:rsidP="0010486B">
      <w:pPr>
        <w:suppressAutoHyphens/>
        <w:rPr>
          <w:b/>
          <w:bCs/>
        </w:rPr>
      </w:pPr>
      <w:r w:rsidRPr="00856DA8">
        <w:rPr>
          <w:b/>
          <w:bCs/>
        </w:rPr>
        <w:t xml:space="preserve">“Sadomasochistic abuse” means flagellation or torture by or upon a person or animal, or the condition of being fettered, bound, or otherwise physically restrained, for the purpose of deriving sexual satisfaction, or satisfaction brought about </w:t>
      </w:r>
      <w:proofErr w:type="gramStart"/>
      <w:r w:rsidRPr="00856DA8">
        <w:rPr>
          <w:b/>
          <w:bCs/>
        </w:rPr>
        <w:t>as a result of</w:t>
      </w:r>
      <w:proofErr w:type="gramEnd"/>
      <w:r w:rsidRPr="00856DA8">
        <w:rPr>
          <w:b/>
          <w:bCs/>
        </w:rPr>
        <w:t xml:space="preserve"> sadistic violence, from inflicting harm on another or receiving such harm oneself. “Sadism” means sexual gratification achieved through, or the association of sexual activity with, the infliction of physical pain, suffering, humiliation, torture, or death upon another person or an animal.</w:t>
      </w:r>
    </w:p>
    <w:p w14:paraId="7C447252" w14:textId="77777777" w:rsidR="0010486B" w:rsidRPr="00856DA8" w:rsidRDefault="0010486B" w:rsidP="0010486B">
      <w:pPr>
        <w:pStyle w:val="SJITextItalic"/>
      </w:pPr>
      <w:r>
        <w:t>§ 847.001</w:t>
      </w:r>
      <w:r w:rsidRPr="00006791">
        <w:t>,</w:t>
      </w:r>
      <w:r>
        <w:t xml:space="preserve"> Fla. Stat.</w:t>
      </w:r>
    </w:p>
    <w:p w14:paraId="68E2BF14" w14:textId="77777777" w:rsidR="0010486B" w:rsidRPr="00856DA8" w:rsidRDefault="0010486B" w:rsidP="0010486B">
      <w:pPr>
        <w:suppressAutoHyphens/>
        <w:rPr>
          <w:b/>
          <w:bCs/>
        </w:rPr>
      </w:pPr>
      <w:r w:rsidRPr="00856DA8">
        <w:rPr>
          <w:b/>
          <w:bCs/>
        </w:rPr>
        <w:t xml:space="preserve">“Sexual bestiality” means any sexual act, actual or simulated, between a person and an animal involving the sex organ of the one and the mouth, anus, or </w:t>
      </w:r>
      <w:r w:rsidR="00AC0010" w:rsidRPr="00ED56E8">
        <w:rPr>
          <w:b/>
          <w:bCs/>
        </w:rPr>
        <w:t>female genitals</w:t>
      </w:r>
      <w:r w:rsidRPr="00856DA8">
        <w:rPr>
          <w:b/>
          <w:bCs/>
        </w:rPr>
        <w:t xml:space="preserve"> of the other.</w:t>
      </w:r>
    </w:p>
    <w:p w14:paraId="5DC955E1" w14:textId="77777777" w:rsidR="0010486B" w:rsidRPr="00856DA8" w:rsidRDefault="0010486B" w:rsidP="0010486B">
      <w:pPr>
        <w:pStyle w:val="SJITextItalic"/>
      </w:pPr>
      <w:r>
        <w:t>§ 796.07(1)</w:t>
      </w:r>
      <w:r w:rsidRPr="00006791">
        <w:t xml:space="preserve">, </w:t>
      </w:r>
      <w:r>
        <w:t>Fla. Stat.</w:t>
      </w:r>
    </w:p>
    <w:p w14:paraId="0FF07CFF" w14:textId="77777777" w:rsidR="0010486B" w:rsidRPr="00856DA8" w:rsidRDefault="0010486B" w:rsidP="0010486B">
      <w:pPr>
        <w:suppressAutoHyphens/>
        <w:rPr>
          <w:b/>
          <w:bCs/>
        </w:rPr>
      </w:pPr>
      <w:r w:rsidRPr="00856DA8">
        <w:rPr>
          <w:b/>
          <w:bCs/>
        </w:rPr>
        <w:t>“Prostitution” is the giving or receiving of the body for sexual activity for hire but excludes sexual activity between spouses.</w:t>
      </w:r>
    </w:p>
    <w:p w14:paraId="17F7F777" w14:textId="77777777" w:rsidR="0010486B" w:rsidRPr="00856DA8" w:rsidRDefault="0010486B" w:rsidP="0010486B">
      <w:pPr>
        <w:pStyle w:val="SJITextItalic"/>
      </w:pPr>
      <w:r>
        <w:t>§ 825.1025, Fla. Stat.</w:t>
      </w:r>
    </w:p>
    <w:p w14:paraId="1EDD45E2" w14:textId="442D2A42" w:rsidR="0010486B" w:rsidRDefault="0010486B" w:rsidP="00ED56E8">
      <w:pPr>
        <w:tabs>
          <w:tab w:val="left" w:pos="720"/>
        </w:tabs>
        <w:suppressAutoHyphens/>
        <w:rPr>
          <w:b/>
          <w:bCs/>
        </w:rPr>
      </w:pPr>
      <w:r w:rsidRPr="00856DA8">
        <w:rPr>
          <w:b/>
          <w:bCs/>
        </w:rPr>
        <w:t xml:space="preserve">“Sexual activity” means the oral, anal, or </w:t>
      </w:r>
      <w:r w:rsidR="004A7281" w:rsidRPr="00ED56E8">
        <w:rPr>
          <w:b/>
          <w:bCs/>
        </w:rPr>
        <w:t>female genital</w:t>
      </w:r>
      <w:r w:rsidRPr="00ED56E8">
        <w:rPr>
          <w:b/>
          <w:bCs/>
        </w:rPr>
        <w:t xml:space="preserve"> penetration by, or union with, the sexual organ of another or the anal or</w:t>
      </w:r>
      <w:r w:rsidR="00ED56E8" w:rsidRPr="00ED56E8">
        <w:rPr>
          <w:b/>
          <w:bCs/>
        </w:rPr>
        <w:t xml:space="preserve"> </w:t>
      </w:r>
      <w:r w:rsidR="004A7281" w:rsidRPr="00ED56E8">
        <w:rPr>
          <w:b/>
          <w:bCs/>
        </w:rPr>
        <w:t xml:space="preserve">female </w:t>
      </w:r>
      <w:proofErr w:type="spellStart"/>
      <w:r w:rsidR="004A7281" w:rsidRPr="00ED56E8">
        <w:rPr>
          <w:b/>
          <w:bCs/>
        </w:rPr>
        <w:t>genita</w:t>
      </w:r>
      <w:proofErr w:type="spellEnd"/>
      <w:r w:rsidR="008840A3">
        <w:rPr>
          <w:b/>
          <w:bCs/>
        </w:rPr>
        <w:t>**</w:t>
      </w:r>
      <w:r w:rsidR="004A7281" w:rsidRPr="00ED56E8">
        <w:rPr>
          <w:b/>
          <w:bCs/>
        </w:rPr>
        <w:t xml:space="preserve">l </w:t>
      </w:r>
      <w:r w:rsidRPr="00ED56E8">
        <w:rPr>
          <w:b/>
          <w:bCs/>
        </w:rPr>
        <w:t>penetration</w:t>
      </w:r>
      <w:r w:rsidRPr="00856DA8">
        <w:rPr>
          <w:b/>
          <w:bCs/>
        </w:rPr>
        <w:t xml:space="preserve"> of another by any other </w:t>
      </w:r>
      <w:proofErr w:type="gramStart"/>
      <w:r w:rsidRPr="00856DA8">
        <w:rPr>
          <w:b/>
          <w:bCs/>
        </w:rPr>
        <w:t>object</w:t>
      </w:r>
      <w:r w:rsidR="00006791">
        <w:rPr>
          <w:b/>
          <w:bCs/>
          <w:u w:val="single"/>
        </w:rPr>
        <w:t>[</w:t>
      </w:r>
      <w:proofErr w:type="gramEnd"/>
      <w:r w:rsidRPr="00006791">
        <w:rPr>
          <w:b/>
          <w:bCs/>
        </w:rPr>
        <w:t>; however, sexual activity does not include an act done for a bona fide medical purpose</w:t>
      </w:r>
      <w:r w:rsidR="00ED56E8">
        <w:rPr>
          <w:b/>
          <w:bCs/>
        </w:rPr>
        <w:t xml:space="preserve">. </w:t>
      </w:r>
      <w:r w:rsidR="00ED56E8" w:rsidRPr="00006791">
        <w:rPr>
          <w:b/>
          <w:bCs/>
        </w:rPr>
        <w:t>“Bona fide” means genuine</w:t>
      </w:r>
      <w:r w:rsidR="00006791">
        <w:rPr>
          <w:b/>
          <w:bCs/>
          <w:u w:val="single"/>
        </w:rPr>
        <w:t>]</w:t>
      </w:r>
      <w:r w:rsidRPr="00006791">
        <w:rPr>
          <w:b/>
          <w:bCs/>
        </w:rPr>
        <w:t>.</w:t>
      </w:r>
    </w:p>
    <w:p w14:paraId="29CEA4AD" w14:textId="77777777" w:rsidR="004A7281" w:rsidRPr="00ED56E8" w:rsidRDefault="004A7281" w:rsidP="004A7281">
      <w:pPr>
        <w:autoSpaceDE w:val="0"/>
        <w:autoSpaceDN w:val="0"/>
        <w:adjustRightInd w:val="0"/>
        <w:spacing w:after="0" w:line="240" w:lineRule="auto"/>
        <w:rPr>
          <w:rFonts w:cs="NewCenturySchlbkLTStd-Roman"/>
          <w:i/>
          <w:iCs/>
        </w:rPr>
      </w:pPr>
      <w:r w:rsidRPr="00ED56E8">
        <w:rPr>
          <w:rFonts w:cs="NewCenturySchlbkLTStd-Roman"/>
          <w:i/>
          <w:iCs/>
        </w:rPr>
        <w:t>§ 825.1025(1), Fla. Stat.</w:t>
      </w:r>
    </w:p>
    <w:p w14:paraId="77390C03" w14:textId="7463B8DA" w:rsidR="004A7281" w:rsidRPr="004A7281" w:rsidRDefault="004A7281" w:rsidP="00B802AB">
      <w:pPr>
        <w:rPr>
          <w:rFonts w:cs="NewCenturySchlbkLTStd-Roman"/>
          <w:b/>
          <w:bCs/>
        </w:rPr>
      </w:pPr>
      <w:r w:rsidRPr="00B802AB">
        <w:rPr>
          <w:b/>
          <w:bCs/>
        </w:rPr>
        <w:t>“Female genitals</w:t>
      </w:r>
      <w:r w:rsidR="008840A3" w:rsidRPr="00B802AB">
        <w:rPr>
          <w:b/>
          <w:bCs/>
        </w:rPr>
        <w:t>**</w:t>
      </w:r>
      <w:r w:rsidRPr="00B802AB">
        <w:rPr>
          <w:b/>
          <w:bCs/>
        </w:rPr>
        <w:t>” includes the labia minora, labia majora, clitoris, vulva, hymen, and vagina.</w:t>
      </w:r>
    </w:p>
    <w:p w14:paraId="628ECE3E" w14:textId="77777777" w:rsidR="0010486B" w:rsidRPr="00006791" w:rsidRDefault="0010486B" w:rsidP="0010486B">
      <w:pPr>
        <w:pStyle w:val="SJITextItalic"/>
      </w:pPr>
      <w:r w:rsidRPr="00006791">
        <w:t>Lakey v. State, 113 So. 3d 90 (Fla. 5th DCA 2013).</w:t>
      </w:r>
    </w:p>
    <w:p w14:paraId="1B8B03CE" w14:textId="77777777" w:rsidR="0010486B" w:rsidRPr="00006791" w:rsidRDefault="0010486B" w:rsidP="0010486B">
      <w:pPr>
        <w:suppressAutoHyphens/>
        <w:rPr>
          <w:b/>
          <w:bCs/>
        </w:rPr>
      </w:pPr>
      <w:r w:rsidRPr="00006791">
        <w:rPr>
          <w:b/>
          <w:bCs/>
        </w:rPr>
        <w:t>“An object” includes a finger.</w:t>
      </w:r>
    </w:p>
    <w:p w14:paraId="3F1DC32A" w14:textId="77777777" w:rsidR="00CB3A72" w:rsidRPr="00ED56E8" w:rsidRDefault="00CB3A72" w:rsidP="00CB3A72">
      <w:pPr>
        <w:tabs>
          <w:tab w:val="left" w:pos="720"/>
        </w:tabs>
        <w:suppressAutoHyphens/>
        <w:spacing w:after="0" w:line="256" w:lineRule="auto"/>
        <w:rPr>
          <w:rFonts w:cs="Times New Roman"/>
          <w:i/>
          <w:iCs/>
          <w:szCs w:val="24"/>
        </w:rPr>
      </w:pPr>
      <w:r w:rsidRPr="00ED56E8">
        <w:rPr>
          <w:rFonts w:cs="Times New Roman"/>
          <w:i/>
          <w:iCs/>
          <w:szCs w:val="24"/>
        </w:rPr>
        <w:t xml:space="preserve">Phillips v. State, 238 So. 3d 308 (Fla. 4th DCA 2018). </w:t>
      </w:r>
    </w:p>
    <w:p w14:paraId="73D4E71D" w14:textId="51427568" w:rsidR="00B802AB" w:rsidRDefault="0010486B" w:rsidP="0010486B">
      <w:pPr>
        <w:tabs>
          <w:tab w:val="left" w:pos="-1440"/>
        </w:tabs>
        <w:rPr>
          <w:b/>
        </w:rPr>
      </w:pPr>
      <w:r w:rsidRPr="00856DA8">
        <w:rPr>
          <w:b/>
        </w:rPr>
        <w:t>“Union” means contact.</w:t>
      </w:r>
    </w:p>
    <w:p w14:paraId="7D9EF2CA" w14:textId="77777777" w:rsidR="00B802AB" w:rsidRDefault="00B802AB">
      <w:pPr>
        <w:spacing w:after="160"/>
        <w:ind w:firstLine="0"/>
        <w:rPr>
          <w:b/>
        </w:rPr>
      </w:pPr>
      <w:r>
        <w:rPr>
          <w:b/>
        </w:rPr>
        <w:br w:type="page"/>
      </w:r>
    </w:p>
    <w:p w14:paraId="5772B70E" w14:textId="77777777" w:rsidR="0010486B" w:rsidRPr="00856DA8" w:rsidRDefault="0010486B" w:rsidP="0010486B">
      <w:pPr>
        <w:pStyle w:val="SJITextItalic"/>
      </w:pPr>
      <w:r w:rsidRPr="00856DA8">
        <w:t xml:space="preserve">Give if applicable. § 775.0862, Fla. Stat. </w:t>
      </w:r>
    </w:p>
    <w:p w14:paraId="66E572B8" w14:textId="77777777" w:rsidR="0010486B" w:rsidRPr="00856DA8" w:rsidRDefault="0010486B" w:rsidP="0010486B">
      <w:pPr>
        <w:pStyle w:val="SJITextItalic"/>
      </w:pPr>
      <w:r w:rsidRPr="00856DA8">
        <w:t>Reclassification for sexual offense against student by school authority figure.</w:t>
      </w:r>
    </w:p>
    <w:p w14:paraId="0B6EE67F" w14:textId="77777777" w:rsidR="0010486B" w:rsidRPr="00856DA8" w:rsidRDefault="0010486B" w:rsidP="0010486B">
      <w:pPr>
        <w:tabs>
          <w:tab w:val="left" w:pos="720"/>
        </w:tabs>
        <w:suppressAutoHyphens/>
        <w:rPr>
          <w:b/>
          <w:bCs/>
        </w:rPr>
      </w:pPr>
      <w:r w:rsidRPr="00856DA8">
        <w:rPr>
          <w:b/>
          <w:bCs/>
        </w:rPr>
        <w:t xml:space="preserve">If you find that </w:t>
      </w:r>
      <w:r w:rsidRPr="00856DA8">
        <w:rPr>
          <w:bCs/>
        </w:rPr>
        <w:t>(defendant)</w:t>
      </w:r>
      <w:r w:rsidRPr="00856DA8">
        <w:rPr>
          <w:b/>
          <w:bCs/>
        </w:rPr>
        <w:t xml:space="preserve"> committed the crime of [Lewd or Lascivious Battery] [Lewd or Lascivious Molestation] [Lewd or Lascivious Exhibition] upon or in the Presence of an [Elderly] [Disabled] Person, you must also determine whether the State has proved beyond a reasonable doubt that </w:t>
      </w:r>
      <w:r w:rsidRPr="00856DA8">
        <w:rPr>
          <w:bCs/>
        </w:rPr>
        <w:t>(defendant)</w:t>
      </w:r>
      <w:r w:rsidRPr="00856DA8">
        <w:rPr>
          <w:b/>
          <w:bCs/>
        </w:rPr>
        <w:t xml:space="preserve"> was an authority figure at a school and </w:t>
      </w:r>
      <w:r w:rsidRPr="00856DA8">
        <w:rPr>
          <w:bCs/>
        </w:rPr>
        <w:t>(victim)</w:t>
      </w:r>
      <w:r w:rsidRPr="00856DA8">
        <w:rPr>
          <w:b/>
          <w:bCs/>
        </w:rPr>
        <w:t xml:space="preserve"> was a student at the same school.</w:t>
      </w:r>
    </w:p>
    <w:p w14:paraId="388D4DF6" w14:textId="77777777" w:rsidR="0010486B" w:rsidRPr="00856DA8" w:rsidRDefault="0010486B" w:rsidP="0010486B">
      <w:pPr>
        <w:tabs>
          <w:tab w:val="left" w:pos="720"/>
        </w:tabs>
        <w:suppressAutoHyphens/>
        <w:rPr>
          <w:b/>
          <w:bCs/>
        </w:rPr>
      </w:pPr>
      <w:r w:rsidRPr="00856DA8">
        <w:rPr>
          <w:b/>
          <w:bCs/>
        </w:rPr>
        <w:t xml:space="preserve">“Authority figure” means a person 18 years of age or older who is employed </w:t>
      </w:r>
      <w:proofErr w:type="gramStart"/>
      <w:r w:rsidRPr="00856DA8">
        <w:rPr>
          <w:b/>
          <w:bCs/>
        </w:rPr>
        <w:t>by,</w:t>
      </w:r>
      <w:proofErr w:type="gramEnd"/>
      <w:r w:rsidRPr="00856DA8">
        <w:rPr>
          <w:b/>
          <w:bCs/>
        </w:rPr>
        <w:t xml:space="preserve"> volunteering at, or under contract with a school.</w:t>
      </w:r>
    </w:p>
    <w:p w14:paraId="1FF49635" w14:textId="77777777" w:rsidR="0010486B" w:rsidRPr="00856DA8" w:rsidRDefault="0010486B" w:rsidP="0010486B">
      <w:pPr>
        <w:tabs>
          <w:tab w:val="left" w:pos="720"/>
        </w:tabs>
        <w:suppressAutoHyphens/>
        <w:rPr>
          <w:b/>
          <w:bCs/>
          <w:i/>
        </w:rPr>
      </w:pPr>
      <w:r w:rsidRPr="00856DA8">
        <w:rPr>
          <w:b/>
          <w:bCs/>
        </w:rPr>
        <w:t xml:space="preserve">“School” means an organization of students for instructional purposes on an elementary, middle or junior high school, secondary or high school, [or other </w:t>
      </w:r>
      <w:proofErr w:type="gramStart"/>
      <w:r w:rsidRPr="00856DA8">
        <w:rPr>
          <w:b/>
          <w:bCs/>
        </w:rPr>
        <w:t>public school</w:t>
      </w:r>
      <w:proofErr w:type="gramEnd"/>
      <w:r w:rsidRPr="00856DA8">
        <w:rPr>
          <w:b/>
          <w:bCs/>
        </w:rPr>
        <w:t xml:space="preserve"> level authorized under the rules of the State Board of Education]. The term “school” does not include facilities dedicated exclusively to the education of adults. </w:t>
      </w:r>
      <w:r w:rsidRPr="00856DA8">
        <w:rPr>
          <w:bCs/>
          <w:i/>
        </w:rPr>
        <w:t>If needed, insert appropriate definitions from § 775.0862(1)(b), Fla. Stat. for “private school” or “voluntary prekindergarten education program” or “early learning program” or “public school as described in s. 402.3025(1)” or “the Florida School for the Deaf and the Blind” or the “Florida Virtual School” or the “K-8 Virtual School.”</w:t>
      </w:r>
    </w:p>
    <w:p w14:paraId="05333FCE" w14:textId="77777777" w:rsidR="0010486B" w:rsidRPr="00856DA8" w:rsidRDefault="0010486B" w:rsidP="0010486B">
      <w:pPr>
        <w:tabs>
          <w:tab w:val="left" w:pos="720"/>
        </w:tabs>
        <w:suppressAutoHyphens/>
        <w:rPr>
          <w:b/>
          <w:bCs/>
        </w:rPr>
      </w:pPr>
      <w:r w:rsidRPr="00856DA8">
        <w:rPr>
          <w:b/>
          <w:bCs/>
        </w:rPr>
        <w:t>“Student” means a person younger than 18 years of age who is enrolled at a school.</w:t>
      </w:r>
    </w:p>
    <w:p w14:paraId="1A237F6E" w14:textId="77777777" w:rsidR="0010486B" w:rsidRDefault="0010486B" w:rsidP="0010486B">
      <w:pPr>
        <w:pStyle w:val="SJIComments"/>
      </w:pPr>
      <w:r w:rsidRPr="00856DA8">
        <w:t>Lesser Included Offenses</w:t>
      </w:r>
    </w:p>
    <w:p w14:paraId="5EDC5E46" w14:textId="77777777" w:rsidR="0010486B" w:rsidRPr="00856DA8" w:rsidRDefault="0010486B" w:rsidP="0010486B">
      <w:pPr>
        <w:pStyle w:val="Heading4"/>
      </w:pPr>
      <w:bookmarkStart w:id="4" w:name="_Toc109650486"/>
      <w:r w:rsidRPr="00856DA8">
        <w:t>11.11 LEWD OR LASCIVIOUS OFFENSES COMMITTED UPON OR IN THE PRESENCE OF AN ELDERLY PERSON OR DISABLED PERSON – 825.1025</w:t>
      </w:r>
      <w:bookmarkEnd w:id="4"/>
    </w:p>
    <w:tbl>
      <w:tblPr>
        <w:tblStyle w:val="TableGrid1"/>
        <w:tblW w:w="5000" w:type="pct"/>
        <w:tblLook w:val="01E0" w:firstRow="1" w:lastRow="1" w:firstColumn="1" w:lastColumn="1" w:noHBand="0" w:noVBand="0"/>
      </w:tblPr>
      <w:tblGrid>
        <w:gridCol w:w="2335"/>
        <w:gridCol w:w="3690"/>
        <w:gridCol w:w="1980"/>
        <w:gridCol w:w="1345"/>
      </w:tblGrid>
      <w:tr w:rsidR="0010486B" w:rsidRPr="00856DA8" w14:paraId="231BD1E9" w14:textId="77777777" w:rsidTr="0045596E">
        <w:trPr>
          <w:cnfStyle w:val="100000000000" w:firstRow="1" w:lastRow="0" w:firstColumn="0" w:lastColumn="0" w:oddVBand="0" w:evenVBand="0" w:oddHBand="0" w:evenHBand="0" w:firstRowFirstColumn="0" w:firstRowLastColumn="0" w:lastRowFirstColumn="0" w:lastRowLastColumn="0"/>
        </w:trPr>
        <w:tc>
          <w:tcPr>
            <w:tcW w:w="1249" w:type="pct"/>
          </w:tcPr>
          <w:p w14:paraId="47198FED" w14:textId="77777777" w:rsidR="0010486B" w:rsidRPr="00856DA8" w:rsidRDefault="0010486B" w:rsidP="003101E3">
            <w:pPr>
              <w:pStyle w:val="SJITableText"/>
            </w:pPr>
            <w:r w:rsidRPr="00856DA8">
              <w:t>CATEGORY ONE</w:t>
            </w:r>
          </w:p>
        </w:tc>
        <w:tc>
          <w:tcPr>
            <w:tcW w:w="1973" w:type="pct"/>
          </w:tcPr>
          <w:p w14:paraId="3AB35189" w14:textId="77777777" w:rsidR="0010486B" w:rsidRPr="00856DA8" w:rsidRDefault="0010486B" w:rsidP="003101E3">
            <w:pPr>
              <w:pStyle w:val="SJITableText"/>
            </w:pPr>
            <w:r w:rsidRPr="00856DA8">
              <w:t>CATEGORY TWO</w:t>
            </w:r>
          </w:p>
        </w:tc>
        <w:tc>
          <w:tcPr>
            <w:tcW w:w="1059" w:type="pct"/>
          </w:tcPr>
          <w:p w14:paraId="0C4BD7D4" w14:textId="77777777" w:rsidR="0010486B" w:rsidRPr="00856DA8" w:rsidRDefault="0010486B" w:rsidP="003101E3">
            <w:pPr>
              <w:pStyle w:val="SJITableText"/>
            </w:pPr>
            <w:r w:rsidRPr="00856DA8">
              <w:t>FLA._STAT.</w:t>
            </w:r>
          </w:p>
        </w:tc>
        <w:tc>
          <w:tcPr>
            <w:tcW w:w="719" w:type="pct"/>
          </w:tcPr>
          <w:p w14:paraId="54A39870" w14:textId="77777777" w:rsidR="0010486B" w:rsidRPr="00856DA8" w:rsidRDefault="0010486B" w:rsidP="003101E3">
            <w:pPr>
              <w:pStyle w:val="SJITableText"/>
            </w:pPr>
            <w:r w:rsidRPr="00856DA8">
              <w:t>INS. NO.</w:t>
            </w:r>
          </w:p>
        </w:tc>
      </w:tr>
      <w:tr w:rsidR="0010486B" w:rsidRPr="00856DA8" w14:paraId="77FF2D86" w14:textId="77777777" w:rsidTr="0045596E">
        <w:tc>
          <w:tcPr>
            <w:tcW w:w="1249" w:type="pct"/>
          </w:tcPr>
          <w:p w14:paraId="7D50AD95" w14:textId="77777777" w:rsidR="0010486B" w:rsidRPr="00856DA8" w:rsidRDefault="0010486B" w:rsidP="003101E3">
            <w:pPr>
              <w:pStyle w:val="SJITableText"/>
            </w:pPr>
            <w:r w:rsidRPr="00856DA8">
              <w:t>None</w:t>
            </w:r>
          </w:p>
        </w:tc>
        <w:tc>
          <w:tcPr>
            <w:tcW w:w="1973" w:type="pct"/>
          </w:tcPr>
          <w:p w14:paraId="1B203A72" w14:textId="77777777" w:rsidR="0010486B" w:rsidRPr="00856DA8" w:rsidRDefault="0010486B" w:rsidP="003101E3">
            <w:pPr>
              <w:pStyle w:val="SJITableText"/>
            </w:pPr>
          </w:p>
        </w:tc>
        <w:tc>
          <w:tcPr>
            <w:tcW w:w="1059" w:type="pct"/>
          </w:tcPr>
          <w:p w14:paraId="3E6EF112" w14:textId="77777777" w:rsidR="0010486B" w:rsidRPr="00856DA8" w:rsidRDefault="0010486B" w:rsidP="003101E3">
            <w:pPr>
              <w:pStyle w:val="SJITableText"/>
            </w:pPr>
          </w:p>
        </w:tc>
        <w:tc>
          <w:tcPr>
            <w:tcW w:w="719" w:type="pct"/>
          </w:tcPr>
          <w:p w14:paraId="41230838" w14:textId="77777777" w:rsidR="0010486B" w:rsidRPr="00856DA8" w:rsidRDefault="0010486B" w:rsidP="003101E3">
            <w:pPr>
              <w:pStyle w:val="SJITableText"/>
            </w:pPr>
          </w:p>
        </w:tc>
      </w:tr>
      <w:tr w:rsidR="0010486B" w:rsidRPr="00856DA8" w14:paraId="6EB46F6C" w14:textId="77777777" w:rsidTr="0045596E">
        <w:tc>
          <w:tcPr>
            <w:tcW w:w="1249" w:type="pct"/>
          </w:tcPr>
          <w:p w14:paraId="13825E13" w14:textId="77777777" w:rsidR="0010486B" w:rsidRPr="00856DA8" w:rsidRDefault="0010486B" w:rsidP="003101E3">
            <w:pPr>
              <w:pStyle w:val="SJITableText"/>
            </w:pPr>
          </w:p>
        </w:tc>
        <w:tc>
          <w:tcPr>
            <w:tcW w:w="1973" w:type="pct"/>
          </w:tcPr>
          <w:p w14:paraId="0B5FC411" w14:textId="77777777" w:rsidR="0010486B" w:rsidRPr="00856DA8" w:rsidRDefault="0010486B" w:rsidP="003101E3">
            <w:pPr>
              <w:pStyle w:val="SJITableText"/>
            </w:pPr>
            <w:r w:rsidRPr="00856DA8">
              <w:t>Attempt</w:t>
            </w:r>
          </w:p>
        </w:tc>
        <w:tc>
          <w:tcPr>
            <w:tcW w:w="1059" w:type="pct"/>
          </w:tcPr>
          <w:p w14:paraId="73F16663" w14:textId="77777777" w:rsidR="0010486B" w:rsidRPr="00856DA8" w:rsidRDefault="0010486B" w:rsidP="003101E3">
            <w:pPr>
              <w:pStyle w:val="SJITableText"/>
            </w:pPr>
            <w:r w:rsidRPr="00856DA8">
              <w:t>777.04(1)</w:t>
            </w:r>
          </w:p>
        </w:tc>
        <w:tc>
          <w:tcPr>
            <w:tcW w:w="719" w:type="pct"/>
          </w:tcPr>
          <w:p w14:paraId="0EF1D63C" w14:textId="77777777" w:rsidR="0010486B" w:rsidRPr="00856DA8" w:rsidRDefault="0010486B" w:rsidP="003101E3">
            <w:pPr>
              <w:pStyle w:val="SJITableText"/>
            </w:pPr>
            <w:r w:rsidRPr="00856DA8">
              <w:t>5.1</w:t>
            </w:r>
          </w:p>
        </w:tc>
      </w:tr>
      <w:tr w:rsidR="0010486B" w:rsidRPr="00856DA8" w14:paraId="547EE6B2" w14:textId="77777777" w:rsidTr="0045596E">
        <w:tc>
          <w:tcPr>
            <w:tcW w:w="1249" w:type="pct"/>
          </w:tcPr>
          <w:p w14:paraId="1B2361D8" w14:textId="77777777" w:rsidR="0010486B" w:rsidRPr="00856DA8" w:rsidRDefault="0010486B" w:rsidP="003101E3">
            <w:pPr>
              <w:pStyle w:val="SJITableText"/>
            </w:pPr>
          </w:p>
        </w:tc>
        <w:tc>
          <w:tcPr>
            <w:tcW w:w="1973" w:type="pct"/>
          </w:tcPr>
          <w:p w14:paraId="376D6C9E" w14:textId="77777777" w:rsidR="0010486B" w:rsidRPr="00856DA8" w:rsidRDefault="0010486B" w:rsidP="003101E3">
            <w:pPr>
              <w:pStyle w:val="SJITableText"/>
            </w:pPr>
            <w:r w:rsidRPr="00856DA8">
              <w:t>Assault</w:t>
            </w:r>
          </w:p>
        </w:tc>
        <w:tc>
          <w:tcPr>
            <w:tcW w:w="1059" w:type="pct"/>
          </w:tcPr>
          <w:p w14:paraId="7BECB85F" w14:textId="77777777" w:rsidR="0010486B" w:rsidRPr="00856DA8" w:rsidRDefault="0010486B" w:rsidP="003101E3">
            <w:pPr>
              <w:pStyle w:val="SJITableText"/>
            </w:pPr>
            <w:r w:rsidRPr="00856DA8">
              <w:t>784.011</w:t>
            </w:r>
          </w:p>
        </w:tc>
        <w:tc>
          <w:tcPr>
            <w:tcW w:w="719" w:type="pct"/>
          </w:tcPr>
          <w:p w14:paraId="4369FF96" w14:textId="77777777" w:rsidR="0010486B" w:rsidRPr="00856DA8" w:rsidRDefault="0010486B" w:rsidP="003101E3">
            <w:pPr>
              <w:pStyle w:val="SJITableText"/>
            </w:pPr>
            <w:r w:rsidRPr="00856DA8">
              <w:t>8.1</w:t>
            </w:r>
          </w:p>
        </w:tc>
      </w:tr>
      <w:tr w:rsidR="0010486B" w:rsidRPr="00856DA8" w14:paraId="3CA71535" w14:textId="77777777" w:rsidTr="0045596E">
        <w:tc>
          <w:tcPr>
            <w:tcW w:w="1249" w:type="pct"/>
          </w:tcPr>
          <w:p w14:paraId="23652643" w14:textId="77777777" w:rsidR="0010486B" w:rsidRPr="00856DA8" w:rsidRDefault="0010486B" w:rsidP="003101E3">
            <w:pPr>
              <w:pStyle w:val="SJITableText"/>
            </w:pPr>
          </w:p>
        </w:tc>
        <w:tc>
          <w:tcPr>
            <w:tcW w:w="1973" w:type="pct"/>
          </w:tcPr>
          <w:p w14:paraId="7A79ABE2" w14:textId="77777777" w:rsidR="0010486B" w:rsidRPr="00856DA8" w:rsidRDefault="0010486B" w:rsidP="003101E3">
            <w:pPr>
              <w:pStyle w:val="SJITableText"/>
            </w:pPr>
            <w:r w:rsidRPr="00856DA8">
              <w:t>Battery</w:t>
            </w:r>
          </w:p>
        </w:tc>
        <w:tc>
          <w:tcPr>
            <w:tcW w:w="1059" w:type="pct"/>
          </w:tcPr>
          <w:p w14:paraId="28C3EB3F" w14:textId="77777777" w:rsidR="0010486B" w:rsidRPr="00856DA8" w:rsidRDefault="0010486B" w:rsidP="003101E3">
            <w:pPr>
              <w:pStyle w:val="SJITableText"/>
            </w:pPr>
            <w:r w:rsidRPr="00856DA8">
              <w:t>784.03</w:t>
            </w:r>
          </w:p>
        </w:tc>
        <w:tc>
          <w:tcPr>
            <w:tcW w:w="719" w:type="pct"/>
          </w:tcPr>
          <w:p w14:paraId="7F24AA52" w14:textId="77777777" w:rsidR="0010486B" w:rsidRPr="00856DA8" w:rsidRDefault="0010486B" w:rsidP="003101E3">
            <w:pPr>
              <w:pStyle w:val="SJITableText"/>
            </w:pPr>
            <w:r w:rsidRPr="00856DA8">
              <w:t>8.3</w:t>
            </w:r>
          </w:p>
        </w:tc>
      </w:tr>
      <w:tr w:rsidR="0010486B" w:rsidRPr="00856DA8" w14:paraId="08653F2B" w14:textId="77777777" w:rsidTr="0045596E">
        <w:tc>
          <w:tcPr>
            <w:tcW w:w="1249" w:type="pct"/>
          </w:tcPr>
          <w:p w14:paraId="70E5712F" w14:textId="77777777" w:rsidR="0010486B" w:rsidRPr="00856DA8" w:rsidRDefault="0010486B" w:rsidP="003101E3">
            <w:pPr>
              <w:pStyle w:val="SJITableText"/>
            </w:pPr>
          </w:p>
        </w:tc>
        <w:tc>
          <w:tcPr>
            <w:tcW w:w="1973" w:type="pct"/>
          </w:tcPr>
          <w:p w14:paraId="2D341D99" w14:textId="77777777" w:rsidR="0010486B" w:rsidRPr="00856DA8" w:rsidRDefault="0010486B" w:rsidP="003101E3">
            <w:pPr>
              <w:pStyle w:val="SJITableText"/>
            </w:pPr>
            <w:r w:rsidRPr="00856DA8">
              <w:t>Exposure of sexual organs</w:t>
            </w:r>
          </w:p>
        </w:tc>
        <w:tc>
          <w:tcPr>
            <w:tcW w:w="1059" w:type="pct"/>
          </w:tcPr>
          <w:p w14:paraId="4360446F" w14:textId="77777777" w:rsidR="0010486B" w:rsidRPr="00856DA8" w:rsidRDefault="0010486B" w:rsidP="003101E3">
            <w:pPr>
              <w:pStyle w:val="SJITableText"/>
            </w:pPr>
            <w:r w:rsidRPr="00856DA8">
              <w:t>800.03</w:t>
            </w:r>
          </w:p>
        </w:tc>
        <w:tc>
          <w:tcPr>
            <w:tcW w:w="719" w:type="pct"/>
          </w:tcPr>
          <w:p w14:paraId="5F2E2599" w14:textId="77777777" w:rsidR="0010486B" w:rsidRPr="00856DA8" w:rsidRDefault="0010486B" w:rsidP="003101E3">
            <w:pPr>
              <w:pStyle w:val="SJITableText"/>
            </w:pPr>
            <w:r w:rsidRPr="00856DA8">
              <w:t>11.9</w:t>
            </w:r>
          </w:p>
        </w:tc>
      </w:tr>
      <w:tr w:rsidR="0010486B" w:rsidRPr="00856DA8" w14:paraId="31DC0692" w14:textId="77777777" w:rsidTr="0045596E">
        <w:tc>
          <w:tcPr>
            <w:tcW w:w="1249" w:type="pct"/>
          </w:tcPr>
          <w:p w14:paraId="2F350D45" w14:textId="77777777" w:rsidR="0010486B" w:rsidRPr="00856DA8" w:rsidRDefault="0010486B" w:rsidP="003101E3">
            <w:pPr>
              <w:pStyle w:val="SJITableText"/>
              <w:rPr>
                <w:strike/>
              </w:rPr>
            </w:pPr>
          </w:p>
        </w:tc>
        <w:tc>
          <w:tcPr>
            <w:tcW w:w="1973" w:type="pct"/>
          </w:tcPr>
          <w:p w14:paraId="214ACFD5" w14:textId="77777777" w:rsidR="0010486B" w:rsidRPr="00856DA8" w:rsidRDefault="0010486B" w:rsidP="003101E3">
            <w:pPr>
              <w:pStyle w:val="SJITableText"/>
            </w:pPr>
            <w:r w:rsidRPr="00856DA8">
              <w:t>Unnatural and lascivious act*</w:t>
            </w:r>
          </w:p>
        </w:tc>
        <w:tc>
          <w:tcPr>
            <w:tcW w:w="1059" w:type="pct"/>
          </w:tcPr>
          <w:p w14:paraId="4E13E7F5" w14:textId="77777777" w:rsidR="0010486B" w:rsidRPr="00856DA8" w:rsidRDefault="0010486B" w:rsidP="003101E3">
            <w:pPr>
              <w:pStyle w:val="SJITableText"/>
            </w:pPr>
            <w:r w:rsidRPr="00856DA8">
              <w:t>800.02*</w:t>
            </w:r>
          </w:p>
        </w:tc>
        <w:tc>
          <w:tcPr>
            <w:tcW w:w="719" w:type="pct"/>
          </w:tcPr>
          <w:p w14:paraId="6CB68A14" w14:textId="77777777" w:rsidR="0010486B" w:rsidRPr="00856DA8" w:rsidRDefault="0010486B" w:rsidP="003101E3">
            <w:pPr>
              <w:pStyle w:val="SJITableText"/>
            </w:pPr>
            <w:r w:rsidRPr="00856DA8">
              <w:t>11.8*</w:t>
            </w:r>
          </w:p>
        </w:tc>
      </w:tr>
    </w:tbl>
    <w:p w14:paraId="60F4D8B1" w14:textId="77777777" w:rsidR="0010486B" w:rsidRDefault="0010486B" w:rsidP="0010486B">
      <w:pPr>
        <w:pStyle w:val="SJIComments"/>
      </w:pPr>
      <w:r w:rsidRPr="00856DA8">
        <w:t>Comments</w:t>
      </w:r>
    </w:p>
    <w:p w14:paraId="3FE199C0" w14:textId="77777777" w:rsidR="0045596E" w:rsidRDefault="0010486B" w:rsidP="0045596E">
      <w:pPr>
        <w:suppressAutoHyphens/>
      </w:pPr>
      <w:r w:rsidRPr="00856DA8">
        <w:t xml:space="preserve">*The courts do not require the State to allege the defendant’s act was “unnatural” or “against the laws of nature” for § 800.02, Fla. Stat., to be given as a lesser-included offense. If the sexual activity involved penile-vaginal sexual intercourse (or contact), § 800.02, Fla. Stat. should </w:t>
      </w:r>
      <w:r w:rsidRPr="00856DA8">
        <w:rPr>
          <w:i/>
        </w:rPr>
        <w:t>not</w:t>
      </w:r>
      <w:r w:rsidRPr="00856DA8">
        <w:t xml:space="preserve"> be given as a lesser-included offense. However, if the sexual activity involved something other than penile-vaginal sexual intercourse (or contact), § 800.02, Fla. Stat. should be given as a lesser-included offense. </w:t>
      </w:r>
      <w:r w:rsidRPr="00856DA8">
        <w:rPr>
          <w:i/>
        </w:rPr>
        <w:t>See</w:t>
      </w:r>
      <w:r w:rsidRPr="00856DA8">
        <w:t xml:space="preserve"> </w:t>
      </w:r>
      <w:r w:rsidRPr="00856DA8">
        <w:rPr>
          <w:i/>
        </w:rPr>
        <w:t>State v. Knighton</w:t>
      </w:r>
      <w:r w:rsidRPr="00856DA8">
        <w:t>, 235 So. 3d 312 (Fla. 2018).</w:t>
      </w:r>
    </w:p>
    <w:p w14:paraId="61202205" w14:textId="00E081D6" w:rsidR="008840A3" w:rsidRPr="008840A3" w:rsidRDefault="008840A3" w:rsidP="005B5847">
      <w:r>
        <w:t>*</w:t>
      </w:r>
      <w:r w:rsidRPr="008840A3">
        <w:t xml:space="preserve">*Effective October 1, 2022, the Legislature changed “vagina” to “female genitals” in sex crimes-related statutes. Judges should ensure the jury instructions contain correct statutory terms, which will depend on the date alleged in the charging document. </w:t>
      </w:r>
      <w:r w:rsidRPr="008840A3">
        <w:rPr>
          <w:i/>
          <w:iCs/>
        </w:rPr>
        <w:t xml:space="preserve">Flores v. State, </w:t>
      </w:r>
      <w:r w:rsidRPr="008840A3">
        <w:t xml:space="preserve">-- So. 3d -- (Fla. 4th DCA 2024) is an example of an appellate court finding fundamental error when the trial judge expanded the definition of “vaginal penetration” by instructing on “female genital penetration.”  </w:t>
      </w:r>
    </w:p>
    <w:p w14:paraId="5F832A26" w14:textId="65E47E5F" w:rsidR="0010486B" w:rsidRPr="00856DA8" w:rsidRDefault="0010486B" w:rsidP="005B5847">
      <w:r w:rsidRPr="00856DA8">
        <w:t>§ 825.1025, Fla. Stat., protects a “disabled pe</w:t>
      </w:r>
      <w:r>
        <w:t>rson” (age unspecific) while</w:t>
      </w:r>
      <w:r w:rsidR="005B5847">
        <w:br/>
      </w:r>
      <w:r w:rsidRPr="00856DA8">
        <w:t>§ 825.101, Fla. Stat., defines a “disabled adult” (18 years of age or older). The discrepancy between the two terms has yet to be clarified.</w:t>
      </w:r>
    </w:p>
    <w:p w14:paraId="45F4E432" w14:textId="2BE2A91F" w:rsidR="0010486B" w:rsidRDefault="0010486B" w:rsidP="005B5847">
      <w:r w:rsidRPr="00856DA8">
        <w:t>There are definitions of “sadomasochistic abuse” and “sexual bestiality” in</w:t>
      </w:r>
      <w:r w:rsidR="005B5847">
        <w:br/>
      </w:r>
      <w:r w:rsidRPr="00856DA8">
        <w:rPr>
          <w:lang w:val="x-none"/>
        </w:rPr>
        <w:t>§</w:t>
      </w:r>
      <w:r w:rsidRPr="00856DA8">
        <w:t xml:space="preserve"> </w:t>
      </w:r>
      <w:r w:rsidRPr="00856DA8">
        <w:rPr>
          <w:lang w:val="x-none"/>
        </w:rPr>
        <w:t>8</w:t>
      </w:r>
      <w:r w:rsidRPr="00856DA8">
        <w:t>47.001</w:t>
      </w:r>
      <w:r w:rsidRPr="00856DA8">
        <w:rPr>
          <w:lang w:val="x-none"/>
        </w:rPr>
        <w:t>, Fla. Stat.</w:t>
      </w:r>
      <w:r w:rsidRPr="00856DA8">
        <w:t xml:space="preserve">, that differ from the </w:t>
      </w:r>
      <w:r>
        <w:t>definitions in</w:t>
      </w:r>
      <w:r w:rsidRPr="00856DA8">
        <w:t xml:space="preserve"> </w:t>
      </w:r>
      <w:r w:rsidRPr="00856DA8">
        <w:rPr>
          <w:lang w:val="x-none"/>
        </w:rPr>
        <w:t>§</w:t>
      </w:r>
      <w:r w:rsidRPr="00856DA8">
        <w:t xml:space="preserve"> </w:t>
      </w:r>
      <w:r w:rsidRPr="00856DA8">
        <w:rPr>
          <w:lang w:val="x-none"/>
        </w:rPr>
        <w:t>8</w:t>
      </w:r>
      <w:r w:rsidRPr="00856DA8">
        <w:t>27.071</w:t>
      </w:r>
      <w:r w:rsidRPr="00856DA8">
        <w:rPr>
          <w:lang w:val="x-none"/>
        </w:rPr>
        <w:t>, Fla. Stat.</w:t>
      </w:r>
      <w:r w:rsidRPr="00856DA8">
        <w:t xml:space="preserve"> As of </w:t>
      </w:r>
      <w:r w:rsidR="00D3004A" w:rsidRPr="00D3004A">
        <w:t>November</w:t>
      </w:r>
      <w:r w:rsidR="00AC0010" w:rsidRPr="00D3004A">
        <w:t xml:space="preserve"> 2022</w:t>
      </w:r>
      <w:r w:rsidRPr="00856DA8">
        <w:t>, there is no case law that decides which definition applies for a violation of § 825.1025, Fla. Stat.</w:t>
      </w:r>
    </w:p>
    <w:p w14:paraId="5EE33DAF" w14:textId="77777777" w:rsidR="00D3004A" w:rsidRPr="00D3004A" w:rsidRDefault="00006791" w:rsidP="005B5847">
      <w:r w:rsidRPr="00D3004A">
        <w:t xml:space="preserve">As of </w:t>
      </w:r>
      <w:r w:rsidR="00D3004A" w:rsidRPr="00D3004A">
        <w:t>November</w:t>
      </w:r>
      <w:r w:rsidRPr="00D3004A">
        <w:t xml:space="preserve"> 2022, it was unclear whether </w:t>
      </w:r>
      <w:r w:rsidR="009A1B11" w:rsidRPr="00D3004A">
        <w:t xml:space="preserve">an </w:t>
      </w:r>
      <w:r w:rsidRPr="00D3004A">
        <w:t xml:space="preserve">act done for </w:t>
      </w:r>
      <w:r w:rsidR="009A1B11" w:rsidRPr="00D3004A">
        <w:t xml:space="preserve">a </w:t>
      </w:r>
      <w:r w:rsidRPr="00D3004A">
        <w:t xml:space="preserve">bona fide medical purpose should be treated as an affirmative defense or </w:t>
      </w:r>
      <w:r w:rsidR="00D3004A" w:rsidRPr="00D3004A">
        <w:t>as</w:t>
      </w:r>
      <w:r w:rsidRPr="00D3004A">
        <w:t xml:space="preserve"> an element that the State must disprove. If treated as an affirmative defense, the judge must then determine who has the burden of persuasion and what that burden is (preponderance, clear and convincing, or beyond a reasonable doubt).  </w:t>
      </w:r>
    </w:p>
    <w:p w14:paraId="062ACF7A" w14:textId="5F1C0CF0" w:rsidR="009435D1" w:rsidRPr="00D3004A" w:rsidRDefault="00D3004A">
      <w:r w:rsidRPr="00D3004A">
        <w:rPr>
          <w:rFonts w:cs="Times New Roman"/>
        </w:rPr>
        <w:t>Th</w:t>
      </w:r>
      <w:r w:rsidR="0010486B" w:rsidRPr="00D3004A">
        <w:t>is instruction was adopted in 2007 [965 So. 2d 811] and amended in 2010 [48 So. 3d 41], 2015 [163 So. 3d 478], 2018</w:t>
      </w:r>
      <w:r w:rsidR="00AC0010" w:rsidRPr="00D3004A">
        <w:t xml:space="preserve"> [257 So. 3d 370], and </w:t>
      </w:r>
      <w:r w:rsidR="006B693E" w:rsidRPr="00D3004A">
        <w:t xml:space="preserve">on </w:t>
      </w:r>
      <w:r w:rsidRPr="00D3004A">
        <w:t>December 21, 2022</w:t>
      </w:r>
      <w:r w:rsidR="0010486B" w:rsidRPr="00D3004A">
        <w:t>.</w:t>
      </w:r>
    </w:p>
    <w:sectPr w:rsidR="009435D1" w:rsidRPr="00D300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ewCenturySchlbkLTStd-Roma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795565292">
    <w:abstractNumId w:val="1"/>
  </w:num>
  <w:num w:numId="2" w16cid:durableId="302468846">
    <w:abstractNumId w:val="0"/>
  </w:num>
  <w:num w:numId="3" w16cid:durableId="1026517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6B"/>
    <w:rsid w:val="00006791"/>
    <w:rsid w:val="0010486B"/>
    <w:rsid w:val="00276059"/>
    <w:rsid w:val="002B122F"/>
    <w:rsid w:val="003101E3"/>
    <w:rsid w:val="003C74CF"/>
    <w:rsid w:val="003E05DE"/>
    <w:rsid w:val="0045596E"/>
    <w:rsid w:val="004A7281"/>
    <w:rsid w:val="004C7C92"/>
    <w:rsid w:val="005B5847"/>
    <w:rsid w:val="006B693E"/>
    <w:rsid w:val="007D1EBA"/>
    <w:rsid w:val="007D47A8"/>
    <w:rsid w:val="00844643"/>
    <w:rsid w:val="00856DA8"/>
    <w:rsid w:val="008840A3"/>
    <w:rsid w:val="008B62F5"/>
    <w:rsid w:val="009435D1"/>
    <w:rsid w:val="009A1B11"/>
    <w:rsid w:val="00AC0010"/>
    <w:rsid w:val="00B802AB"/>
    <w:rsid w:val="00CB3A72"/>
    <w:rsid w:val="00D3004A"/>
    <w:rsid w:val="00ED56E8"/>
    <w:rsid w:val="00EE4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F01BD9"/>
  <w14:defaultImageDpi w14:val="0"/>
  <w15:docId w15:val="{BD1FF1BC-1DE8-4DFA-91CD-9B9E47CF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86B"/>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10486B"/>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10486B"/>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10486B"/>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10486B"/>
    <w:pPr>
      <w:outlineLvl w:val="3"/>
    </w:pPr>
  </w:style>
  <w:style w:type="paragraph" w:styleId="Heading5">
    <w:name w:val="heading 5"/>
    <w:basedOn w:val="Normal"/>
    <w:next w:val="Normal"/>
    <w:link w:val="Heading5Char"/>
    <w:uiPriority w:val="9"/>
    <w:qFormat/>
    <w:rsid w:val="0010486B"/>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10486B"/>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10486B"/>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10486B"/>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10486B"/>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0486B"/>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10486B"/>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10486B"/>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10486B"/>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10486B"/>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10486B"/>
    <w:rPr>
      <w:rFonts w:ascii="Times New Roman" w:hAnsi="Times New Roman" w:cs="Times New Roman"/>
      <w:b/>
      <w:bCs/>
    </w:rPr>
  </w:style>
  <w:style w:type="character" w:customStyle="1" w:styleId="Heading7Char">
    <w:name w:val="Heading 7 Char"/>
    <w:basedOn w:val="DefaultParagraphFont"/>
    <w:link w:val="Heading7"/>
    <w:uiPriority w:val="9"/>
    <w:locked/>
    <w:rsid w:val="0010486B"/>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10486B"/>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10486B"/>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10486B"/>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10486B"/>
    <w:pPr>
      <w:tabs>
        <w:tab w:val="left" w:pos="720"/>
      </w:tabs>
      <w:suppressAutoHyphens/>
      <w:spacing w:after="0"/>
    </w:pPr>
    <w:rPr>
      <w:rFonts w:cs="Times New Roman"/>
      <w:i/>
      <w:iCs/>
      <w:szCs w:val="24"/>
    </w:rPr>
  </w:style>
  <w:style w:type="paragraph" w:customStyle="1" w:styleId="SJITableText">
    <w:name w:val="SJI Table Text"/>
    <w:basedOn w:val="Normal"/>
    <w:qFormat/>
    <w:rsid w:val="0010486B"/>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10486B"/>
    <w:pPr>
      <w:spacing w:before="220"/>
      <w:ind w:firstLine="0"/>
      <w:jc w:val="center"/>
    </w:pPr>
    <w:rPr>
      <w:rFonts w:cs="Courier New"/>
      <w:b/>
    </w:rPr>
  </w:style>
  <w:style w:type="table" w:customStyle="1" w:styleId="TableGrid1">
    <w:name w:val="Table Grid1"/>
    <w:basedOn w:val="TableNormal"/>
    <w:next w:val="TableGrid"/>
    <w:uiPriority w:val="99"/>
    <w:rsid w:val="0010486B"/>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10486B"/>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10486B"/>
    <w:pPr>
      <w:widowControl w:val="0"/>
      <w:autoSpaceDE w:val="0"/>
      <w:autoSpaceDN w:val="0"/>
      <w:adjustRightInd w:val="0"/>
      <w:ind w:left="1296" w:hanging="576"/>
    </w:pPr>
    <w:rPr>
      <w:rFonts w:cs="Times New Roman"/>
    </w:rPr>
  </w:style>
  <w:style w:type="character" w:customStyle="1" w:styleId="SJIBold">
    <w:name w:val="SJI Bold"/>
    <w:uiPriority w:val="1"/>
    <w:qFormat/>
    <w:rsid w:val="0010486B"/>
    <w:rPr>
      <w:b/>
    </w:rPr>
  </w:style>
  <w:style w:type="paragraph" w:customStyle="1" w:styleId="SJIText">
    <w:name w:val="SJI Text"/>
    <w:basedOn w:val="Normal"/>
    <w:next w:val="Normal"/>
    <w:qFormat/>
    <w:rsid w:val="0010486B"/>
    <w:rPr>
      <w:rFonts w:cs="Times New Roman"/>
    </w:rPr>
  </w:style>
  <w:style w:type="paragraph" w:customStyle="1" w:styleId="SJITableTitle">
    <w:name w:val="SJI Table Title"/>
    <w:basedOn w:val="Normal"/>
    <w:qFormat/>
    <w:rsid w:val="0010486B"/>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10486B"/>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10486B"/>
    <w:pPr>
      <w:numPr>
        <w:numId w:val="3"/>
      </w:numPr>
    </w:pPr>
    <w:rPr>
      <w:rFonts w:cs="Times New Roman"/>
    </w:rPr>
  </w:style>
  <w:style w:type="paragraph" w:styleId="ListParagraph">
    <w:name w:val="List Paragraph"/>
    <w:basedOn w:val="Normal"/>
    <w:uiPriority w:val="34"/>
    <w:qFormat/>
    <w:rsid w:val="0010486B"/>
    <w:pPr>
      <w:ind w:left="720"/>
    </w:pPr>
  </w:style>
  <w:style w:type="paragraph" w:customStyle="1" w:styleId="SJITableNotation">
    <w:name w:val="SJI Table Notation"/>
    <w:basedOn w:val="SJITableText"/>
    <w:qFormat/>
    <w:rsid w:val="0010486B"/>
    <w:pPr>
      <w:spacing w:before="120" w:after="240"/>
    </w:pPr>
  </w:style>
  <w:style w:type="character" w:customStyle="1" w:styleId="SJIUnderline">
    <w:name w:val="SJI Underline"/>
    <w:uiPriority w:val="1"/>
    <w:qFormat/>
    <w:rsid w:val="0010486B"/>
    <w:rPr>
      <w:rFonts w:ascii="Times New Roman" w:hAnsi="Times New Roman"/>
      <w:sz w:val="28"/>
      <w:u w:val="single"/>
    </w:rPr>
  </w:style>
  <w:style w:type="paragraph" w:styleId="Caption">
    <w:name w:val="caption"/>
    <w:basedOn w:val="Normal"/>
    <w:next w:val="Normal"/>
    <w:uiPriority w:val="35"/>
    <w:semiHidden/>
    <w:unhideWhenUsed/>
    <w:qFormat/>
    <w:rsid w:val="0010486B"/>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10486B"/>
    <w:pPr>
      <w:jc w:val="center"/>
    </w:pPr>
    <w:rPr>
      <w:rFonts w:cs="Times New Roman"/>
      <w:b/>
      <w:bCs/>
      <w:sz w:val="28"/>
      <w:szCs w:val="28"/>
    </w:rPr>
  </w:style>
  <w:style w:type="character" w:customStyle="1" w:styleId="TitleChar">
    <w:name w:val="Title Char"/>
    <w:basedOn w:val="DefaultParagraphFont"/>
    <w:link w:val="Title"/>
    <w:uiPriority w:val="10"/>
    <w:locked/>
    <w:rsid w:val="0010486B"/>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10486B"/>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10486B"/>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10486B"/>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10486B"/>
    <w:rPr>
      <w:rFonts w:ascii="Bookman Old Style" w:hAnsi="Bookman Old Style" w:cs="Times New Roman"/>
      <w:color w:val="000000"/>
    </w:rPr>
  </w:style>
  <w:style w:type="paragraph" w:styleId="Quote">
    <w:name w:val="Quote"/>
    <w:basedOn w:val="Normal"/>
    <w:next w:val="Normal"/>
    <w:link w:val="QuoteChar"/>
    <w:uiPriority w:val="29"/>
    <w:qFormat/>
    <w:rsid w:val="0010486B"/>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10486B"/>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10486B"/>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10486B"/>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10486B"/>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397504">
      <w:bodyDiv w:val="1"/>
      <w:marLeft w:val="0"/>
      <w:marRight w:val="0"/>
      <w:marTop w:val="0"/>
      <w:marBottom w:val="0"/>
      <w:divBdr>
        <w:top w:val="none" w:sz="0" w:space="0" w:color="auto"/>
        <w:left w:val="none" w:sz="0" w:space="0" w:color="auto"/>
        <w:bottom w:val="none" w:sz="0" w:space="0" w:color="auto"/>
        <w:right w:val="none" w:sz="0" w:space="0" w:color="auto"/>
      </w:divBdr>
    </w:div>
    <w:div w:id="2074084300">
      <w:marLeft w:val="0"/>
      <w:marRight w:val="0"/>
      <w:marTop w:val="0"/>
      <w:marBottom w:val="0"/>
      <w:divBdr>
        <w:top w:val="none" w:sz="0" w:space="0" w:color="auto"/>
        <w:left w:val="none" w:sz="0" w:space="0" w:color="auto"/>
        <w:bottom w:val="none" w:sz="0" w:space="0" w:color="auto"/>
        <w:right w:val="none" w:sz="0" w:space="0" w:color="auto"/>
      </w:divBdr>
    </w:div>
    <w:div w:id="20740843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1312</Words>
  <Characters>7082</Characters>
  <Application>Microsoft Office Word</Application>
  <DocSecurity>0</DocSecurity>
  <Lines>59</Lines>
  <Paragraphs>16</Paragraphs>
  <ScaleCrop>false</ScaleCrop>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6</cp:revision>
  <dcterms:created xsi:type="dcterms:W3CDTF">2024-09-23T19:09:00Z</dcterms:created>
  <dcterms:modified xsi:type="dcterms:W3CDTF">2024-09-24T20:03:00Z</dcterms:modified>
</cp:coreProperties>
</file>