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F7DC" w14:textId="77777777" w:rsidR="00BC38EB" w:rsidRPr="00C1689D" w:rsidRDefault="00BC38EB" w:rsidP="00BC38EB">
      <w:pPr>
        <w:pStyle w:val="Heading3"/>
        <w:rPr>
          <w:sz w:val="22"/>
          <w:szCs w:val="22"/>
        </w:rPr>
      </w:pPr>
      <w:bookmarkStart w:id="0" w:name="_Toc520107340"/>
      <w:bookmarkStart w:id="1" w:name="_Toc520195250"/>
      <w:bookmarkStart w:id="2" w:name="_Toc109650479"/>
      <w:bookmarkStart w:id="3" w:name="_Toc110239961"/>
      <w:bookmarkStart w:id="4" w:name="_Toc110584857"/>
      <w:r w:rsidRPr="00C1689D">
        <w:rPr>
          <w:sz w:val="22"/>
          <w:szCs w:val="22"/>
        </w:rPr>
        <w:t>11.10(</w:t>
      </w:r>
      <w:r w:rsidRPr="00C1689D">
        <w:rPr>
          <w:caps w:val="0"/>
          <w:sz w:val="22"/>
          <w:szCs w:val="22"/>
        </w:rPr>
        <w:t>e</w:t>
      </w:r>
      <w:r w:rsidRPr="00C1689D">
        <w:rPr>
          <w:sz w:val="22"/>
          <w:szCs w:val="22"/>
        </w:rPr>
        <w:t xml:space="preserve">) LEWD </w:t>
      </w:r>
      <w:r w:rsidRPr="002F372C">
        <w:t>OR</w:t>
      </w:r>
      <w:r w:rsidRPr="00C1689D">
        <w:rPr>
          <w:sz w:val="22"/>
          <w:szCs w:val="22"/>
        </w:rPr>
        <w:t xml:space="preserve"> LASCIVIOUS EXHIBITION </w:t>
      </w:r>
      <w:bookmarkEnd w:id="0"/>
      <w:bookmarkEnd w:id="1"/>
      <w:bookmarkEnd w:id="2"/>
      <w:bookmarkEnd w:id="3"/>
      <w:bookmarkEnd w:id="4"/>
    </w:p>
    <w:p w14:paraId="74469AFF" w14:textId="090334BE" w:rsidR="00BC38EB" w:rsidRPr="00C1689D" w:rsidRDefault="00BC38EB" w:rsidP="002F372C">
      <w:pPr>
        <w:pStyle w:val="SJIStatuteinTitle"/>
      </w:pPr>
      <w:r w:rsidRPr="00C1689D">
        <w:t>§ 800.04(7), Fla. Stat.</w:t>
      </w:r>
      <w:r w:rsidR="0051702E">
        <w:t>**</w:t>
      </w:r>
    </w:p>
    <w:p w14:paraId="53B50E04" w14:textId="77777777" w:rsidR="00BC38EB" w:rsidRPr="00C1689D" w:rsidRDefault="00BC38EB" w:rsidP="00BC38EB">
      <w:pPr>
        <w:tabs>
          <w:tab w:val="left" w:pos="720"/>
        </w:tabs>
        <w:suppressAutoHyphens/>
        <w:rPr>
          <w:b/>
          <w:bCs/>
        </w:rPr>
      </w:pPr>
      <w:r w:rsidRPr="00C1689D">
        <w:rPr>
          <w:b/>
          <w:bCs/>
        </w:rPr>
        <w:t>To prove the crime of Lewd or Lascivious Exhibition, the State must prove the following four elements beyond a reasonable doubt:</w:t>
      </w:r>
    </w:p>
    <w:p w14:paraId="63E78026" w14:textId="77777777" w:rsidR="00BC38EB" w:rsidRPr="00C1689D" w:rsidRDefault="00BC38EB" w:rsidP="00BC38EB">
      <w:pPr>
        <w:pStyle w:val="SJITextItalic"/>
        <w:rPr>
          <w:szCs w:val="22"/>
        </w:rPr>
      </w:pPr>
      <w:r w:rsidRPr="00C1689D">
        <w:rPr>
          <w:szCs w:val="22"/>
        </w:rPr>
        <w:t>Give as applicable.</w:t>
      </w:r>
    </w:p>
    <w:p w14:paraId="1DDA2713" w14:textId="77777777" w:rsidR="002E2CE8" w:rsidRPr="002E2CE8" w:rsidRDefault="00BC38EB" w:rsidP="002E2CE8">
      <w:pPr>
        <w:pStyle w:val="ListParagraph"/>
        <w:numPr>
          <w:ilvl w:val="0"/>
          <w:numId w:val="5"/>
        </w:numPr>
        <w:tabs>
          <w:tab w:val="left" w:pos="720"/>
        </w:tabs>
        <w:suppressAutoHyphens/>
        <w:ind w:left="1152" w:hanging="432"/>
        <w:rPr>
          <w:b/>
        </w:rPr>
      </w:pPr>
      <w:r w:rsidRPr="00C1689D">
        <w:t>(Defendant)</w:t>
      </w:r>
      <w:r w:rsidRPr="002E2CE8">
        <w:rPr>
          <w:b/>
        </w:rPr>
        <w:t xml:space="preserve"> </w:t>
      </w:r>
    </w:p>
    <w:p w14:paraId="0F62411A" w14:textId="2C8C4FB2" w:rsidR="00BC38EB" w:rsidRPr="00316D70" w:rsidRDefault="00BC38EB" w:rsidP="00316D70">
      <w:pPr>
        <w:pStyle w:val="ListParagraph"/>
        <w:numPr>
          <w:ilvl w:val="1"/>
          <w:numId w:val="6"/>
        </w:numPr>
        <w:tabs>
          <w:tab w:val="left" w:pos="720"/>
        </w:tabs>
        <w:suppressAutoHyphens/>
        <w:ind w:left="1656"/>
        <w:rPr>
          <w:b/>
        </w:rPr>
      </w:pPr>
      <w:r w:rsidRPr="00316D70">
        <w:rPr>
          <w:b/>
          <w:bCs/>
        </w:rPr>
        <w:t>intentionally masturbated.</w:t>
      </w:r>
    </w:p>
    <w:p w14:paraId="47684954" w14:textId="2E5B113E" w:rsidR="00BC38EB" w:rsidRPr="00316D70" w:rsidRDefault="00BC38EB" w:rsidP="00316D70">
      <w:pPr>
        <w:pStyle w:val="ListParagraph"/>
        <w:numPr>
          <w:ilvl w:val="1"/>
          <w:numId w:val="6"/>
        </w:numPr>
        <w:tabs>
          <w:tab w:val="left" w:pos="1440"/>
        </w:tabs>
        <w:suppressAutoHyphens/>
        <w:ind w:left="1656"/>
        <w:rPr>
          <w:b/>
          <w:bCs/>
        </w:rPr>
      </w:pPr>
      <w:r w:rsidRPr="00316D70">
        <w:rPr>
          <w:b/>
          <w:bCs/>
        </w:rPr>
        <w:t>intentionally exposed [his] [her] genitals in a lewd or lascivious manner.</w:t>
      </w:r>
    </w:p>
    <w:p w14:paraId="06D1EEEA" w14:textId="48D03EB4" w:rsidR="00BC38EB" w:rsidRPr="00316D70" w:rsidRDefault="002E2CE8" w:rsidP="00316D70">
      <w:pPr>
        <w:pStyle w:val="ListParagraph"/>
        <w:numPr>
          <w:ilvl w:val="1"/>
          <w:numId w:val="6"/>
        </w:numPr>
        <w:tabs>
          <w:tab w:val="left" w:pos="1440"/>
        </w:tabs>
        <w:suppressAutoHyphens/>
        <w:ind w:left="1656"/>
        <w:rPr>
          <w:b/>
          <w:bCs/>
        </w:rPr>
      </w:pPr>
      <w:r w:rsidRPr="00316D70">
        <w:rPr>
          <w:b/>
          <w:bCs/>
        </w:rPr>
        <w:t>c</w:t>
      </w:r>
      <w:r w:rsidR="00BC38EB" w:rsidRPr="00316D70">
        <w:rPr>
          <w:b/>
          <w:bCs/>
        </w:rPr>
        <w:t>ommitted [a sexual act] [sadomasochistic abuse] [sexual bestiality] [</w:t>
      </w:r>
      <w:r w:rsidR="00C1689D" w:rsidRPr="00316D70">
        <w:rPr>
          <w:b/>
          <w:bCs/>
        </w:rPr>
        <w:t xml:space="preserve">the </w:t>
      </w:r>
      <w:r w:rsidR="00BC38EB" w:rsidRPr="00316D70">
        <w:rPr>
          <w:b/>
          <w:bCs/>
        </w:rPr>
        <w:t xml:space="preserve">simulation of any act involving sexual activity] that did not involve actual physical or sexual contact with </w:t>
      </w:r>
      <w:r w:rsidR="00BC38EB" w:rsidRPr="00316D70">
        <w:rPr>
          <w:bCs/>
        </w:rPr>
        <w:t>(victim)</w:t>
      </w:r>
      <w:r w:rsidR="00BC38EB" w:rsidRPr="00316D70">
        <w:rPr>
          <w:b/>
          <w:bCs/>
        </w:rPr>
        <w:t>.</w:t>
      </w:r>
    </w:p>
    <w:p w14:paraId="3EC740DA" w14:textId="0CA45414" w:rsidR="00BC38EB" w:rsidRPr="00D55360" w:rsidRDefault="00BC38EB" w:rsidP="00D55360">
      <w:pPr>
        <w:pStyle w:val="ListParagraph"/>
        <w:numPr>
          <w:ilvl w:val="0"/>
          <w:numId w:val="5"/>
        </w:numPr>
        <w:tabs>
          <w:tab w:val="left" w:pos="720"/>
        </w:tabs>
        <w:suppressAutoHyphens/>
        <w:ind w:left="1152" w:hanging="432"/>
      </w:pPr>
      <w:r w:rsidRPr="00D55360">
        <w:t xml:space="preserve">The act was committed in the presence of </w:t>
      </w:r>
      <w:r w:rsidRPr="00C1689D">
        <w:t>(victim)</w:t>
      </w:r>
      <w:r w:rsidRPr="00D55360">
        <w:t>.</w:t>
      </w:r>
    </w:p>
    <w:p w14:paraId="7D0FCDB9" w14:textId="249599B2" w:rsidR="00BC38EB" w:rsidRPr="00D55360" w:rsidRDefault="00BC38EB" w:rsidP="00D55360">
      <w:pPr>
        <w:pStyle w:val="ListParagraph"/>
        <w:numPr>
          <w:ilvl w:val="0"/>
          <w:numId w:val="5"/>
        </w:numPr>
        <w:tabs>
          <w:tab w:val="left" w:pos="720"/>
        </w:tabs>
        <w:suppressAutoHyphens/>
        <w:ind w:left="1152" w:hanging="432"/>
      </w:pPr>
      <w:r w:rsidRPr="00D55360">
        <w:t xml:space="preserve">At the time, </w:t>
      </w:r>
      <w:r w:rsidRPr="00C1689D">
        <w:t>(victim)</w:t>
      </w:r>
      <w:r w:rsidRPr="00D55360">
        <w:t xml:space="preserve"> was under the age of 16 years.</w:t>
      </w:r>
    </w:p>
    <w:p w14:paraId="62542CF0" w14:textId="77777777" w:rsidR="00BC38EB" w:rsidRPr="00C1689D" w:rsidRDefault="00BC38EB" w:rsidP="00BC38EB">
      <w:pPr>
        <w:pStyle w:val="SJITextItalic"/>
        <w:rPr>
          <w:szCs w:val="22"/>
        </w:rPr>
      </w:pPr>
      <w:r w:rsidRPr="00C1689D">
        <w:rPr>
          <w:szCs w:val="22"/>
        </w:rPr>
        <w:t>Give 4a or 4b as applicable.</w:t>
      </w:r>
    </w:p>
    <w:p w14:paraId="524CE168" w14:textId="77777777" w:rsidR="00BC38EB" w:rsidRPr="00C1689D" w:rsidRDefault="00BC38EB" w:rsidP="00BC38EB">
      <w:pPr>
        <w:tabs>
          <w:tab w:val="left" w:pos="1620"/>
        </w:tabs>
        <w:suppressAutoHyphens/>
        <w:ind w:left="1440" w:hanging="720"/>
        <w:rPr>
          <w:b/>
          <w:bCs/>
        </w:rPr>
      </w:pPr>
      <w:r w:rsidRPr="00C1689D">
        <w:rPr>
          <w:b/>
          <w:bCs/>
        </w:rPr>
        <w:t xml:space="preserve">4. </w:t>
      </w:r>
      <w:r w:rsidRPr="00C1689D">
        <w:rPr>
          <w:b/>
          <w:bCs/>
        </w:rPr>
        <w:tab/>
        <w:t xml:space="preserve">a. At the time, </w:t>
      </w:r>
      <w:r w:rsidRPr="00C1689D">
        <w:t>(defendant)</w:t>
      </w:r>
      <w:r w:rsidRPr="00C1689D">
        <w:rPr>
          <w:b/>
          <w:bCs/>
        </w:rPr>
        <w:t xml:space="preserve"> was 18 years of age or older.</w:t>
      </w:r>
    </w:p>
    <w:p w14:paraId="6A703409" w14:textId="77777777" w:rsidR="00BC38EB" w:rsidRPr="00C1689D" w:rsidRDefault="00BC38EB" w:rsidP="00BC38EB">
      <w:pPr>
        <w:tabs>
          <w:tab w:val="left" w:pos="1620"/>
        </w:tabs>
        <w:suppressAutoHyphens/>
        <w:ind w:left="1440" w:hanging="720"/>
        <w:rPr>
          <w:b/>
          <w:bCs/>
        </w:rPr>
      </w:pPr>
      <w:r w:rsidRPr="00C1689D">
        <w:rPr>
          <w:b/>
          <w:bCs/>
        </w:rPr>
        <w:tab/>
        <w:t xml:space="preserve">b. At the time, </w:t>
      </w:r>
      <w:r w:rsidRPr="00C1689D">
        <w:t xml:space="preserve">(defendant) </w:t>
      </w:r>
      <w:r w:rsidRPr="00C1689D">
        <w:rPr>
          <w:b/>
          <w:bCs/>
        </w:rPr>
        <w:t>was less than 18 years of age.</w:t>
      </w:r>
    </w:p>
    <w:p w14:paraId="6D8934A1" w14:textId="77777777" w:rsidR="00FD6149" w:rsidRPr="00FD6149" w:rsidRDefault="00FD6149" w:rsidP="00FD6149">
      <w:pPr>
        <w:tabs>
          <w:tab w:val="left" w:pos="720"/>
        </w:tabs>
        <w:suppressAutoHyphens/>
        <w:spacing w:after="0"/>
        <w:rPr>
          <w:i/>
          <w:iCs/>
        </w:rPr>
      </w:pPr>
      <w:r w:rsidRPr="00FD6149">
        <w:rPr>
          <w:i/>
          <w:iCs/>
        </w:rPr>
        <w:t>Give if applicable. § 800.04(8), Fla. Stat.</w:t>
      </w:r>
    </w:p>
    <w:p w14:paraId="43B4EBE4" w14:textId="77777777" w:rsidR="00FD6149" w:rsidRPr="00FD6149" w:rsidRDefault="00FD6149" w:rsidP="00FD6149">
      <w:pPr>
        <w:tabs>
          <w:tab w:val="left" w:pos="720"/>
        </w:tabs>
        <w:suppressAutoHyphens/>
        <w:rPr>
          <w:b/>
          <w:bCs/>
        </w:rPr>
      </w:pPr>
      <w:r w:rsidRPr="00FD6149">
        <w:rPr>
          <w:b/>
          <w:bCs/>
        </w:rPr>
        <w:t>A mother’s breastfeeding of her baby does not under any circumstance constitute a Lewd or Lascivious Exhibition.</w:t>
      </w:r>
    </w:p>
    <w:p w14:paraId="0ECA56C8" w14:textId="77777777" w:rsidR="00FD6149" w:rsidRPr="00C1689D" w:rsidRDefault="00FD6149" w:rsidP="00FD6149">
      <w:pPr>
        <w:pStyle w:val="SJITextItalic"/>
        <w:rPr>
          <w:b/>
          <w:szCs w:val="22"/>
        </w:rPr>
      </w:pPr>
      <w:r w:rsidRPr="00C1689D">
        <w:rPr>
          <w:szCs w:val="22"/>
        </w:rPr>
        <w:t>§ 800.04(3), Fla. Stat.</w:t>
      </w:r>
    </w:p>
    <w:p w14:paraId="036FFF0A" w14:textId="77777777" w:rsidR="00FD6149" w:rsidRPr="00F7379D" w:rsidRDefault="00FD6149" w:rsidP="00FD6149">
      <w:pPr>
        <w:tabs>
          <w:tab w:val="left" w:pos="720"/>
        </w:tabs>
        <w:suppressAutoHyphens/>
        <w:rPr>
          <w:b/>
          <w:bCs/>
        </w:rPr>
      </w:pPr>
      <w:r w:rsidRPr="00C1689D">
        <w:rPr>
          <w:b/>
          <w:bCs/>
        </w:rPr>
        <w:t xml:space="preserve">The defendant’s ignorance of </w:t>
      </w:r>
      <w:r w:rsidRPr="00C1689D">
        <w:rPr>
          <w:bCs/>
        </w:rPr>
        <w:t>(victim’s)</w:t>
      </w:r>
      <w:r w:rsidRPr="00C1689D">
        <w:rPr>
          <w:b/>
          <w:bCs/>
        </w:rPr>
        <w:t xml:space="preserve"> age, </w:t>
      </w:r>
      <w:r w:rsidRPr="00C1689D">
        <w:rPr>
          <w:bCs/>
        </w:rPr>
        <w:t>(victim’s)</w:t>
      </w:r>
      <w:r w:rsidRPr="00C1689D">
        <w:rPr>
          <w:b/>
          <w:bCs/>
        </w:rPr>
        <w:t xml:space="preserve"> misrepresentation of his or her age, or the </w:t>
      </w:r>
      <w:r w:rsidRPr="00F7379D">
        <w:rPr>
          <w:b/>
          <w:bCs/>
        </w:rPr>
        <w:t xml:space="preserve">defendant’s bona fide belief of </w:t>
      </w:r>
      <w:r w:rsidRPr="00F7379D">
        <w:rPr>
          <w:bCs/>
        </w:rPr>
        <w:t>(victim’s)</w:t>
      </w:r>
      <w:r w:rsidRPr="00F7379D">
        <w:rPr>
          <w:b/>
          <w:bCs/>
        </w:rPr>
        <w:t xml:space="preserve"> age is not a defense to the crime charged.</w:t>
      </w:r>
    </w:p>
    <w:p w14:paraId="7A97E7F0" w14:textId="77777777" w:rsidR="00FD6149" w:rsidRPr="00F7379D" w:rsidRDefault="00FD6149" w:rsidP="00FD6149">
      <w:pPr>
        <w:pStyle w:val="SJITextItalic"/>
        <w:rPr>
          <w:szCs w:val="22"/>
        </w:rPr>
      </w:pPr>
      <w:r w:rsidRPr="00F7379D">
        <w:rPr>
          <w:szCs w:val="22"/>
        </w:rPr>
        <w:t>Give if applicable.</w:t>
      </w:r>
    </w:p>
    <w:p w14:paraId="30A9E311" w14:textId="77777777" w:rsidR="00FD6149" w:rsidRDefault="00FD6149" w:rsidP="00FD6149">
      <w:pPr>
        <w:tabs>
          <w:tab w:val="left" w:pos="720"/>
        </w:tabs>
        <w:suppressAutoHyphens/>
        <w:rPr>
          <w:b/>
          <w:bCs/>
        </w:rPr>
      </w:pPr>
      <w:r w:rsidRPr="00F7379D">
        <w:rPr>
          <w:b/>
          <w:bCs/>
        </w:rPr>
        <w:t>“Bona fide” means genuine.</w:t>
      </w:r>
    </w:p>
    <w:p w14:paraId="0078C6D7" w14:textId="77777777" w:rsidR="00FD6149" w:rsidRPr="00C1689D" w:rsidRDefault="00FD6149" w:rsidP="00FD6149">
      <w:pPr>
        <w:pStyle w:val="SJITextItalic"/>
        <w:rPr>
          <w:szCs w:val="22"/>
        </w:rPr>
      </w:pPr>
      <w:r w:rsidRPr="00C1689D">
        <w:rPr>
          <w:szCs w:val="22"/>
        </w:rPr>
        <w:t>§ 800.04(2), Fla. Stat.</w:t>
      </w:r>
    </w:p>
    <w:p w14:paraId="3470DA68" w14:textId="77777777" w:rsidR="00FD6149" w:rsidRDefault="00FD6149" w:rsidP="00FD6149">
      <w:pPr>
        <w:tabs>
          <w:tab w:val="left" w:pos="720"/>
        </w:tabs>
        <w:suppressAutoHyphens/>
        <w:rPr>
          <w:b/>
          <w:bCs/>
        </w:rPr>
      </w:pPr>
      <w:r w:rsidRPr="00C1689D">
        <w:rPr>
          <w:b/>
          <w:bCs/>
        </w:rPr>
        <w:t xml:space="preserve">Neither </w:t>
      </w:r>
      <w:r w:rsidRPr="00C1689D">
        <w:rPr>
          <w:bCs/>
        </w:rPr>
        <w:t>(victim’s)</w:t>
      </w:r>
      <w:r w:rsidRPr="00C1689D">
        <w:rPr>
          <w:b/>
          <w:bCs/>
        </w:rPr>
        <w:t xml:space="preserve"> lack of chastity nor </w:t>
      </w:r>
      <w:r w:rsidRPr="00C1689D">
        <w:rPr>
          <w:bCs/>
        </w:rPr>
        <w:t>(victim’s)</w:t>
      </w:r>
      <w:r w:rsidRPr="00C1689D">
        <w:rPr>
          <w:b/>
          <w:bCs/>
        </w:rPr>
        <w:t xml:space="preserve"> consent is a defense to the crime charged.</w:t>
      </w:r>
    </w:p>
    <w:p w14:paraId="68779961" w14:textId="77777777" w:rsidR="00FD6149" w:rsidRPr="00FD6149" w:rsidRDefault="00FD6149" w:rsidP="00FD6149">
      <w:pPr>
        <w:tabs>
          <w:tab w:val="left" w:pos="720"/>
        </w:tabs>
        <w:suppressAutoHyphens/>
        <w:spacing w:after="0" w:line="256" w:lineRule="auto"/>
        <w:rPr>
          <w:rFonts w:cs="Times New Roman"/>
          <w:i/>
          <w:iCs/>
        </w:rPr>
      </w:pPr>
      <w:r w:rsidRPr="00FD6149">
        <w:rPr>
          <w:rFonts w:cs="Times New Roman"/>
          <w:i/>
          <w:iCs/>
        </w:rPr>
        <w:t>§ 800.04(1), Fla. Stat.</w:t>
      </w:r>
    </w:p>
    <w:p w14:paraId="4BD229DA" w14:textId="4DA5AA3B" w:rsidR="002E182B" w:rsidRDefault="00FD6149" w:rsidP="000E780D">
      <w:pPr>
        <w:suppressAutoHyphens/>
        <w:spacing w:after="280" w:line="256" w:lineRule="auto"/>
        <w:rPr>
          <w:b/>
          <w:bCs/>
        </w:rPr>
      </w:pPr>
      <w:r w:rsidRPr="00FD6149">
        <w:rPr>
          <w:b/>
          <w:bCs/>
        </w:rPr>
        <w:t>“Consent” means intelligent, knowing, and voluntary consent, and does not include submission by coercion.</w:t>
      </w:r>
    </w:p>
    <w:p w14:paraId="7FB6C24F" w14:textId="77777777" w:rsidR="00130DDA" w:rsidRDefault="00130DDA">
      <w:pPr>
        <w:spacing w:after="160"/>
        <w:ind w:firstLine="0"/>
        <w:rPr>
          <w:rFonts w:cs="Times New Roman"/>
          <w:i/>
          <w:iCs/>
        </w:rPr>
      </w:pPr>
      <w:r>
        <w:rPr>
          <w:rFonts w:cs="Times New Roman"/>
          <w:i/>
          <w:iCs/>
        </w:rPr>
        <w:br w:type="page"/>
      </w:r>
    </w:p>
    <w:p w14:paraId="354133AF" w14:textId="4B972016" w:rsidR="00FD6149" w:rsidRPr="00FD6149" w:rsidRDefault="00FD6149" w:rsidP="00FD6149">
      <w:pPr>
        <w:tabs>
          <w:tab w:val="left" w:pos="720"/>
        </w:tabs>
        <w:suppressAutoHyphens/>
        <w:spacing w:after="0" w:line="256" w:lineRule="auto"/>
        <w:rPr>
          <w:rFonts w:cs="Times New Roman"/>
          <w:i/>
          <w:iCs/>
        </w:rPr>
      </w:pPr>
      <w:r w:rsidRPr="00FD6149">
        <w:rPr>
          <w:rFonts w:cs="Times New Roman"/>
          <w:i/>
          <w:iCs/>
        </w:rPr>
        <w:lastRenderedPageBreak/>
        <w:t>§ 800.04(1), Fla. Stat.</w:t>
      </w:r>
    </w:p>
    <w:p w14:paraId="2168922C" w14:textId="77777777" w:rsidR="00FD6149" w:rsidRPr="00FD6149" w:rsidRDefault="00FD6149" w:rsidP="00FD6149">
      <w:pPr>
        <w:tabs>
          <w:tab w:val="left" w:pos="720"/>
        </w:tabs>
        <w:suppressAutoHyphens/>
        <w:spacing w:line="256" w:lineRule="auto"/>
        <w:rPr>
          <w:b/>
          <w:bCs/>
        </w:rPr>
      </w:pPr>
      <w:r w:rsidRPr="00FD6149">
        <w:rPr>
          <w:b/>
          <w:bCs/>
        </w:rPr>
        <w:t>“Coercion” means the use of exploitation, bribes, threats of force, or intimidation to gain cooperation or compliance.</w:t>
      </w:r>
    </w:p>
    <w:p w14:paraId="43BC7468" w14:textId="77777777" w:rsidR="00BC38EB" w:rsidRPr="00C1689D" w:rsidRDefault="00BC38EB" w:rsidP="00BC38EB">
      <w:pPr>
        <w:pStyle w:val="SJITextItalic"/>
        <w:rPr>
          <w:szCs w:val="22"/>
        </w:rPr>
      </w:pPr>
      <w:r w:rsidRPr="00C1689D">
        <w:rPr>
          <w:szCs w:val="22"/>
        </w:rPr>
        <w:t>Give if applicable.</w:t>
      </w:r>
    </w:p>
    <w:p w14:paraId="2FCA8C21" w14:textId="77777777" w:rsidR="00BC38EB" w:rsidRPr="00C1689D" w:rsidRDefault="00BC38EB" w:rsidP="00BC38EB">
      <w:pPr>
        <w:tabs>
          <w:tab w:val="left" w:pos="720"/>
        </w:tabs>
        <w:suppressAutoHyphens/>
        <w:rPr>
          <w:b/>
          <w:bCs/>
        </w:rPr>
      </w:pPr>
      <w:r w:rsidRPr="00C1689D">
        <w:rPr>
          <w:b/>
          <w:bCs/>
        </w:rPr>
        <w:t>The words “lewd” and “lascivious” mean the same thing: a wicked, lustful, unchaste, licentious, or sensual intent on the part of the person doing an act.</w:t>
      </w:r>
    </w:p>
    <w:p w14:paraId="086E995F" w14:textId="77777777" w:rsidR="00BC38EB" w:rsidRPr="00C1689D" w:rsidRDefault="00BC38EB" w:rsidP="00BC38EB">
      <w:pPr>
        <w:pStyle w:val="SJITextItalic"/>
        <w:rPr>
          <w:szCs w:val="22"/>
        </w:rPr>
      </w:pPr>
      <w:r w:rsidRPr="00C1689D">
        <w:rPr>
          <w:szCs w:val="22"/>
        </w:rPr>
        <w:t>§ 800.04(1)</w:t>
      </w:r>
      <w:r w:rsidRPr="00F7379D">
        <w:rPr>
          <w:szCs w:val="22"/>
        </w:rPr>
        <w:t xml:space="preserve">, </w:t>
      </w:r>
      <w:r w:rsidRPr="00C1689D">
        <w:rPr>
          <w:szCs w:val="22"/>
        </w:rPr>
        <w:t xml:space="preserve">Fla. Stat. </w:t>
      </w:r>
    </w:p>
    <w:p w14:paraId="15FE7AA6" w14:textId="77777777" w:rsidR="00BC38EB" w:rsidRPr="00F7379D" w:rsidRDefault="00BC38EB" w:rsidP="00BC38EB">
      <w:pPr>
        <w:tabs>
          <w:tab w:val="left" w:pos="720"/>
        </w:tabs>
        <w:suppressAutoHyphens/>
        <w:rPr>
          <w:b/>
          <w:bCs/>
        </w:rPr>
      </w:pPr>
      <w:r w:rsidRPr="00C1689D">
        <w:rPr>
          <w:b/>
          <w:bCs/>
        </w:rPr>
        <w:t xml:space="preserve">“Sexual activity” means the oral, anal, </w:t>
      </w:r>
      <w:r w:rsidRPr="00FD6149">
        <w:rPr>
          <w:b/>
          <w:bCs/>
        </w:rPr>
        <w:t xml:space="preserve">or </w:t>
      </w:r>
      <w:r w:rsidR="00C1689D" w:rsidRPr="00FD6149">
        <w:rPr>
          <w:b/>
          <w:bCs/>
        </w:rPr>
        <w:t xml:space="preserve">female genital </w:t>
      </w:r>
      <w:r w:rsidRPr="00FD6149">
        <w:rPr>
          <w:b/>
          <w:bCs/>
        </w:rPr>
        <w:t xml:space="preserve">penetration by, or union with, the sexual organ of another or the anal or </w:t>
      </w:r>
      <w:r w:rsidR="00C1689D" w:rsidRPr="00FD6149">
        <w:rPr>
          <w:b/>
          <w:bCs/>
        </w:rPr>
        <w:t xml:space="preserve">female genital </w:t>
      </w:r>
      <w:r w:rsidRPr="00FD6149">
        <w:rPr>
          <w:b/>
          <w:bCs/>
        </w:rPr>
        <w:t>penetration</w:t>
      </w:r>
      <w:r w:rsidRPr="00C1689D">
        <w:rPr>
          <w:b/>
          <w:bCs/>
        </w:rPr>
        <w:t xml:space="preserve"> of </w:t>
      </w:r>
      <w:r w:rsidRPr="00F7379D">
        <w:rPr>
          <w:b/>
          <w:bCs/>
        </w:rPr>
        <w:t>another by any other object</w:t>
      </w:r>
      <w:r w:rsidR="00F7379D">
        <w:rPr>
          <w:b/>
          <w:bCs/>
          <w:u w:val="single"/>
        </w:rPr>
        <w:t>[</w:t>
      </w:r>
      <w:r w:rsidRPr="00F7379D">
        <w:rPr>
          <w:b/>
          <w:bCs/>
        </w:rPr>
        <w:t>; however, sexual activity does not include an act done for a bona fide medical purpose</w:t>
      </w:r>
      <w:r w:rsidR="00F7379D">
        <w:rPr>
          <w:b/>
          <w:bCs/>
          <w:u w:val="single"/>
        </w:rPr>
        <w:t>]</w:t>
      </w:r>
      <w:r w:rsidRPr="00F7379D">
        <w:rPr>
          <w:b/>
          <w:bCs/>
        </w:rPr>
        <w:t>.</w:t>
      </w:r>
    </w:p>
    <w:p w14:paraId="5EB4016D" w14:textId="77777777" w:rsidR="00BC38EB" w:rsidRPr="00F7379D" w:rsidRDefault="00BC38EB" w:rsidP="00BC38EB">
      <w:pPr>
        <w:pStyle w:val="SJITextItalic"/>
        <w:rPr>
          <w:szCs w:val="22"/>
        </w:rPr>
      </w:pPr>
      <w:r w:rsidRPr="00F7379D">
        <w:rPr>
          <w:szCs w:val="22"/>
        </w:rPr>
        <w:t>Lakey v. State, 113 So. 3d 90 (Fla. 5th DCA 2013).</w:t>
      </w:r>
    </w:p>
    <w:p w14:paraId="3AA7AB9C" w14:textId="77777777" w:rsidR="00BC38EB" w:rsidRPr="00F7379D" w:rsidRDefault="00BC38EB" w:rsidP="00BC38EB">
      <w:pPr>
        <w:tabs>
          <w:tab w:val="left" w:pos="720"/>
        </w:tabs>
        <w:suppressAutoHyphens/>
        <w:rPr>
          <w:b/>
          <w:bCs/>
        </w:rPr>
      </w:pPr>
      <w:r w:rsidRPr="00F7379D">
        <w:rPr>
          <w:b/>
          <w:bCs/>
        </w:rPr>
        <w:t xml:space="preserve">“An object” includes a finger. </w:t>
      </w:r>
    </w:p>
    <w:p w14:paraId="4D6F408F" w14:textId="77777777" w:rsidR="00BC38EB" w:rsidRPr="00C1689D" w:rsidRDefault="00BC38EB" w:rsidP="00BC38EB">
      <w:pPr>
        <w:pStyle w:val="SJITextItalic"/>
        <w:rPr>
          <w:szCs w:val="22"/>
        </w:rPr>
      </w:pPr>
      <w:r w:rsidRPr="00C1689D">
        <w:rPr>
          <w:szCs w:val="22"/>
        </w:rPr>
        <w:t>§ 827.071, Fla. Stat.</w:t>
      </w:r>
    </w:p>
    <w:p w14:paraId="400C9354" w14:textId="77777777" w:rsidR="00BC38EB" w:rsidRPr="00C1689D" w:rsidRDefault="00BC38EB" w:rsidP="00BC38EB">
      <w:pPr>
        <w:tabs>
          <w:tab w:val="left" w:pos="720"/>
        </w:tabs>
        <w:suppressAutoHyphens/>
        <w:rPr>
          <w:b/>
          <w:bCs/>
        </w:rPr>
      </w:pPr>
      <w:r w:rsidRPr="00C1689D">
        <w:rPr>
          <w:b/>
          <w:bCs/>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3D7CCE24" w14:textId="77777777" w:rsidR="008A06AB" w:rsidRPr="00A70A39" w:rsidRDefault="008A06AB" w:rsidP="008A06AB">
      <w:pPr>
        <w:pStyle w:val="SJITextItalic"/>
        <w:rPr>
          <w:szCs w:val="22"/>
        </w:rPr>
      </w:pPr>
      <w:r w:rsidRPr="00A70A39">
        <w:rPr>
          <w:szCs w:val="22"/>
        </w:rPr>
        <w:t>§ 827.071, Fla. Stat.</w:t>
      </w:r>
    </w:p>
    <w:p w14:paraId="77FCFFA2" w14:textId="77777777" w:rsidR="008A06AB" w:rsidRDefault="008A06AB" w:rsidP="008A06AB">
      <w:pPr>
        <w:tabs>
          <w:tab w:val="left" w:pos="720"/>
        </w:tabs>
        <w:suppressAutoHyphens/>
        <w:spacing w:after="280"/>
        <w:rPr>
          <w:b/>
          <w:bCs/>
        </w:rPr>
      </w:pPr>
      <w:r w:rsidRPr="00A70A39">
        <w:rPr>
          <w:b/>
          <w:bCs/>
        </w:rPr>
        <w:t xml:space="preserve">“Sexual bestiality” means any sexual act between a person and an animal involving the sex organ of the one and the mouth, anus, </w:t>
      </w:r>
      <w:r w:rsidRPr="00FD6149">
        <w:rPr>
          <w:b/>
          <w:bCs/>
        </w:rPr>
        <w:t>or female genitals of the</w:t>
      </w:r>
      <w:r w:rsidRPr="00A70A39">
        <w:rPr>
          <w:b/>
          <w:bCs/>
        </w:rPr>
        <w:t xml:space="preserve"> other.</w:t>
      </w:r>
    </w:p>
    <w:p w14:paraId="3FE7F1C6" w14:textId="77777777" w:rsidR="00331697" w:rsidRPr="00FD6149" w:rsidRDefault="00331697" w:rsidP="00331697">
      <w:pPr>
        <w:pStyle w:val="SJITextItalic"/>
        <w:rPr>
          <w:color w:val="3D3D3D"/>
          <w:szCs w:val="22"/>
          <w:shd w:val="clear" w:color="auto" w:fill="FFFFFF"/>
        </w:rPr>
      </w:pPr>
      <w:r w:rsidRPr="00FD6149">
        <w:rPr>
          <w:color w:val="3D3D3D"/>
          <w:szCs w:val="22"/>
          <w:shd w:val="clear" w:color="auto" w:fill="FFFFFF"/>
        </w:rPr>
        <w:t>§ 800.04(1), Fla. Stat.</w:t>
      </w:r>
    </w:p>
    <w:p w14:paraId="4032FF96" w14:textId="40FBEADF" w:rsidR="00331697" w:rsidRPr="009928ED" w:rsidRDefault="00331697" w:rsidP="009928ED">
      <w:pPr>
        <w:rPr>
          <w:b/>
          <w:bCs/>
          <w:i/>
          <w:iCs/>
          <w:shd w:val="clear" w:color="auto" w:fill="FFFFFF"/>
        </w:rPr>
      </w:pPr>
      <w:r w:rsidRPr="009928ED">
        <w:rPr>
          <w:b/>
          <w:bCs/>
          <w:shd w:val="clear" w:color="auto" w:fill="FFFFFF"/>
        </w:rPr>
        <w:t>“Female genitals</w:t>
      </w:r>
      <w:r w:rsidR="0051702E" w:rsidRPr="009928ED">
        <w:rPr>
          <w:b/>
          <w:bCs/>
          <w:shd w:val="clear" w:color="auto" w:fill="FFFFFF"/>
        </w:rPr>
        <w:t>**</w:t>
      </w:r>
      <w:r w:rsidRPr="009928ED">
        <w:rPr>
          <w:b/>
          <w:bCs/>
          <w:shd w:val="clear" w:color="auto" w:fill="FFFFFF"/>
        </w:rPr>
        <w:t>” includes the labia minora, labia majora, clitoris, vulva, hymen, and vagina.</w:t>
      </w:r>
    </w:p>
    <w:p w14:paraId="065AD68B" w14:textId="77777777" w:rsidR="00BC38EB" w:rsidRPr="00C1689D" w:rsidRDefault="00BC38EB" w:rsidP="00BC38EB">
      <w:pPr>
        <w:pStyle w:val="SJITextItalic"/>
        <w:rPr>
          <w:szCs w:val="22"/>
        </w:rPr>
      </w:pPr>
      <w:r w:rsidRPr="00C1689D">
        <w:rPr>
          <w:szCs w:val="22"/>
        </w:rPr>
        <w:t>§ 800.04, Fla. Stat. See State v. Werner, 609 So. 2d 585 (Fla. 1992).</w:t>
      </w:r>
    </w:p>
    <w:p w14:paraId="65E54D9D" w14:textId="77777777" w:rsidR="00BC38EB" w:rsidRPr="00C1689D" w:rsidRDefault="00BC38EB" w:rsidP="00BC38EB">
      <w:pPr>
        <w:tabs>
          <w:tab w:val="left" w:pos="720"/>
        </w:tabs>
        <w:suppressAutoHyphens/>
        <w:rPr>
          <w:b/>
          <w:bCs/>
        </w:rPr>
      </w:pPr>
      <w:r w:rsidRPr="00C1689D">
        <w:rPr>
          <w:b/>
          <w:bCs/>
        </w:rPr>
        <w:t xml:space="preserve">“In the presence of” means that </w:t>
      </w:r>
      <w:r w:rsidRPr="00C1689D">
        <w:t>(victim)</w:t>
      </w:r>
      <w:r w:rsidRPr="00C1689D">
        <w:rPr>
          <w:b/>
          <w:bCs/>
        </w:rPr>
        <w:t xml:space="preserve"> saw, heard, or otherwise sensed that the act was taking place.</w:t>
      </w:r>
    </w:p>
    <w:p w14:paraId="28DF65F0" w14:textId="77777777" w:rsidR="00BC38EB" w:rsidRPr="00C1689D" w:rsidRDefault="00BC38EB" w:rsidP="00BC38EB">
      <w:pPr>
        <w:pStyle w:val="SJITextItalic"/>
        <w:rPr>
          <w:szCs w:val="22"/>
        </w:rPr>
      </w:pPr>
      <w:r w:rsidRPr="00C1689D">
        <w:rPr>
          <w:szCs w:val="22"/>
        </w:rPr>
        <w:t xml:space="preserve">§ 775.0862, Fla. Stat. </w:t>
      </w:r>
    </w:p>
    <w:p w14:paraId="1D56833A" w14:textId="77777777" w:rsidR="00BC38EB" w:rsidRPr="00C1689D" w:rsidRDefault="00BC38EB" w:rsidP="00BC38EB">
      <w:pPr>
        <w:pStyle w:val="SJITextItalic"/>
        <w:rPr>
          <w:szCs w:val="22"/>
        </w:rPr>
      </w:pPr>
      <w:r w:rsidRPr="00C1689D">
        <w:rPr>
          <w:szCs w:val="22"/>
        </w:rPr>
        <w:t>Reclassification for sexual offense against student by school authority figure.</w:t>
      </w:r>
    </w:p>
    <w:p w14:paraId="1AF51626" w14:textId="77777777" w:rsidR="00BC38EB" w:rsidRPr="00C1689D" w:rsidRDefault="00BC38EB" w:rsidP="00BC38EB">
      <w:pPr>
        <w:tabs>
          <w:tab w:val="left" w:pos="720"/>
        </w:tabs>
        <w:suppressAutoHyphens/>
        <w:rPr>
          <w:b/>
          <w:bCs/>
        </w:rPr>
      </w:pPr>
      <w:r w:rsidRPr="00C1689D">
        <w:rPr>
          <w:b/>
          <w:bCs/>
        </w:rPr>
        <w:t xml:space="preserve">If you find that </w:t>
      </w:r>
      <w:r w:rsidRPr="00C1689D">
        <w:rPr>
          <w:bCs/>
        </w:rPr>
        <w:t>(defendant)</w:t>
      </w:r>
      <w:r w:rsidRPr="00C1689D">
        <w:rPr>
          <w:b/>
          <w:bCs/>
        </w:rPr>
        <w:t xml:space="preserve"> committed the crime of Lewd or Lascivious Exhibition, you must also determine whether the State has proved beyond a reasonable doubt that </w:t>
      </w:r>
      <w:r w:rsidRPr="00C1689D">
        <w:rPr>
          <w:bCs/>
        </w:rPr>
        <w:t>(defendant)</w:t>
      </w:r>
      <w:r w:rsidRPr="00C1689D">
        <w:rPr>
          <w:b/>
          <w:bCs/>
        </w:rPr>
        <w:t xml:space="preserve"> was an authority figure at a school and </w:t>
      </w:r>
      <w:r w:rsidRPr="00C1689D">
        <w:rPr>
          <w:bCs/>
        </w:rPr>
        <w:t>(victim)</w:t>
      </w:r>
      <w:r w:rsidRPr="00C1689D">
        <w:rPr>
          <w:b/>
          <w:bCs/>
        </w:rPr>
        <w:t xml:space="preserve"> was a student at the same school.</w:t>
      </w:r>
    </w:p>
    <w:p w14:paraId="475F6D9F" w14:textId="77777777" w:rsidR="00BC38EB" w:rsidRPr="00C1689D" w:rsidRDefault="00BC38EB" w:rsidP="00BC38EB">
      <w:pPr>
        <w:tabs>
          <w:tab w:val="left" w:pos="720"/>
        </w:tabs>
        <w:suppressAutoHyphens/>
        <w:rPr>
          <w:b/>
          <w:bCs/>
        </w:rPr>
      </w:pPr>
      <w:r w:rsidRPr="00C1689D">
        <w:rPr>
          <w:b/>
          <w:bCs/>
        </w:rPr>
        <w:t>“Authority figure” means a person 18 years of age or older who is employed by, volunteering at, or under contract with a school.</w:t>
      </w:r>
    </w:p>
    <w:p w14:paraId="32FD40FB" w14:textId="77777777" w:rsidR="00BC38EB" w:rsidRPr="00C1689D" w:rsidRDefault="00BC38EB" w:rsidP="00BC38EB">
      <w:pPr>
        <w:tabs>
          <w:tab w:val="left" w:pos="720"/>
        </w:tabs>
        <w:suppressAutoHyphens/>
        <w:rPr>
          <w:b/>
          <w:bCs/>
          <w:i/>
        </w:rPr>
      </w:pPr>
      <w:r w:rsidRPr="00C1689D">
        <w:rPr>
          <w:b/>
          <w:bCs/>
        </w:rPr>
        <w:t xml:space="preserve">“School” means an organization of students for instructional purposes on an elementary, middle or junior high school, secondary or high school, [or other </w:t>
      </w:r>
      <w:r w:rsidRPr="00C1689D">
        <w:rPr>
          <w:b/>
          <w:bCs/>
        </w:rPr>
        <w:lastRenderedPageBreak/>
        <w:t xml:space="preserve">public school level authorized under the rules of the State Board of Education]. The term “school” does not include facilities dedicated exclusively to the education of adults. </w:t>
      </w:r>
      <w:r w:rsidRPr="00C1689D">
        <w:rPr>
          <w:bCs/>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38B2BD51" w14:textId="77777777" w:rsidR="00BC38EB" w:rsidRPr="00C1689D" w:rsidRDefault="00BC38EB" w:rsidP="00BC38EB">
      <w:pPr>
        <w:tabs>
          <w:tab w:val="left" w:pos="720"/>
        </w:tabs>
        <w:suppressAutoHyphens/>
        <w:rPr>
          <w:b/>
          <w:bCs/>
        </w:rPr>
      </w:pPr>
      <w:r w:rsidRPr="00C1689D">
        <w:rPr>
          <w:b/>
          <w:bCs/>
        </w:rPr>
        <w:t>“Student” means a person younger than 18 years of age who is enrolled at a school.</w:t>
      </w:r>
    </w:p>
    <w:p w14:paraId="3C15A7FD" w14:textId="77777777" w:rsidR="00BC38EB" w:rsidRPr="00C1689D" w:rsidRDefault="00BC38EB" w:rsidP="009928ED">
      <w:pPr>
        <w:pStyle w:val="SJIComments"/>
      </w:pPr>
      <w:r w:rsidRPr="00C1689D">
        <w:t>Lesser Included Offenses</w:t>
      </w:r>
    </w:p>
    <w:p w14:paraId="25DA6D67" w14:textId="77777777" w:rsidR="00BC38EB" w:rsidRPr="00C1689D" w:rsidRDefault="00BC38EB" w:rsidP="00E83AFB">
      <w:pPr>
        <w:pStyle w:val="Heading4"/>
        <w:spacing w:line="240" w:lineRule="auto"/>
      </w:pPr>
      <w:bookmarkStart w:id="5" w:name="_Toc109650480"/>
      <w:r w:rsidRPr="00C1689D">
        <w:t>LEWD OR LASCIVIOUS EXHIBITION; DEFENDANT 18 OR OLDER — 800.04(7)(</w:t>
      </w:r>
      <w:r w:rsidR="00E83AFB">
        <w:rPr>
          <w:caps w:val="0"/>
        </w:rPr>
        <w:t>b</w:t>
      </w:r>
      <w:r w:rsidRPr="00C1689D">
        <w:t>)</w:t>
      </w:r>
      <w:bookmarkEnd w:id="5"/>
    </w:p>
    <w:tbl>
      <w:tblPr>
        <w:tblStyle w:val="TableGrid1"/>
        <w:tblW w:w="5000" w:type="pct"/>
        <w:tblLook w:val="0020" w:firstRow="1" w:lastRow="0" w:firstColumn="0" w:lastColumn="0" w:noHBand="0" w:noVBand="0"/>
      </w:tblPr>
      <w:tblGrid>
        <w:gridCol w:w="2515"/>
        <w:gridCol w:w="3467"/>
        <w:gridCol w:w="1964"/>
        <w:gridCol w:w="1404"/>
      </w:tblGrid>
      <w:tr w:rsidR="00BC38EB" w:rsidRPr="00C1689D" w14:paraId="413E882E" w14:textId="77777777" w:rsidTr="009928ED">
        <w:trPr>
          <w:cnfStyle w:val="100000000000" w:firstRow="1" w:lastRow="0" w:firstColumn="0" w:lastColumn="0" w:oddVBand="0" w:evenVBand="0" w:oddHBand="0" w:evenHBand="0" w:firstRowFirstColumn="0" w:firstRowLastColumn="0" w:lastRowFirstColumn="0" w:lastRowLastColumn="0"/>
        </w:trPr>
        <w:tc>
          <w:tcPr>
            <w:tcW w:w="1345" w:type="pct"/>
          </w:tcPr>
          <w:p w14:paraId="47A3CFC0" w14:textId="77777777" w:rsidR="00BC38EB" w:rsidRPr="00C1689D" w:rsidRDefault="00BC38EB" w:rsidP="00E96A21">
            <w:pPr>
              <w:pStyle w:val="SJITableText"/>
              <w:rPr>
                <w:bCs w:val="0"/>
                <w:szCs w:val="22"/>
              </w:rPr>
            </w:pPr>
            <w:r w:rsidRPr="00C1689D">
              <w:rPr>
                <w:bCs w:val="0"/>
                <w:szCs w:val="22"/>
              </w:rPr>
              <w:t>CATEGORY ONE</w:t>
            </w:r>
          </w:p>
        </w:tc>
        <w:tc>
          <w:tcPr>
            <w:tcW w:w="1854" w:type="pct"/>
          </w:tcPr>
          <w:p w14:paraId="7265CF97" w14:textId="77777777" w:rsidR="00BC38EB" w:rsidRPr="00C1689D" w:rsidRDefault="00BC38EB" w:rsidP="00E96A21">
            <w:pPr>
              <w:pStyle w:val="SJITableText"/>
              <w:rPr>
                <w:bCs w:val="0"/>
                <w:szCs w:val="22"/>
              </w:rPr>
            </w:pPr>
            <w:r w:rsidRPr="00C1689D">
              <w:rPr>
                <w:bCs w:val="0"/>
                <w:szCs w:val="22"/>
              </w:rPr>
              <w:t>CATEGORY TWO</w:t>
            </w:r>
          </w:p>
        </w:tc>
        <w:tc>
          <w:tcPr>
            <w:tcW w:w="1050" w:type="pct"/>
          </w:tcPr>
          <w:p w14:paraId="46D9C1B3" w14:textId="77777777" w:rsidR="00BC38EB" w:rsidRPr="00C1689D" w:rsidRDefault="00BC38EB" w:rsidP="00E96A21">
            <w:pPr>
              <w:pStyle w:val="SJITableText"/>
              <w:rPr>
                <w:bCs w:val="0"/>
                <w:szCs w:val="22"/>
              </w:rPr>
            </w:pPr>
            <w:r w:rsidRPr="00C1689D">
              <w:rPr>
                <w:bCs w:val="0"/>
                <w:szCs w:val="22"/>
              </w:rPr>
              <w:t>FLA. STAT.</w:t>
            </w:r>
          </w:p>
        </w:tc>
        <w:tc>
          <w:tcPr>
            <w:tcW w:w="751" w:type="pct"/>
          </w:tcPr>
          <w:p w14:paraId="2AE8D4F5" w14:textId="77777777" w:rsidR="00BC38EB" w:rsidRPr="00C1689D" w:rsidRDefault="00BC38EB" w:rsidP="00E96A21">
            <w:pPr>
              <w:pStyle w:val="SJITableText"/>
              <w:rPr>
                <w:bCs w:val="0"/>
                <w:szCs w:val="22"/>
              </w:rPr>
            </w:pPr>
            <w:r w:rsidRPr="00C1689D">
              <w:rPr>
                <w:bCs w:val="0"/>
                <w:szCs w:val="22"/>
              </w:rPr>
              <w:t>INS. NO.</w:t>
            </w:r>
          </w:p>
        </w:tc>
      </w:tr>
      <w:tr w:rsidR="00BC38EB" w:rsidRPr="00C1689D" w14:paraId="70E835C8" w14:textId="77777777" w:rsidTr="009928ED">
        <w:trPr>
          <w:trHeight w:val="264"/>
        </w:trPr>
        <w:tc>
          <w:tcPr>
            <w:tcW w:w="1345" w:type="pct"/>
          </w:tcPr>
          <w:p w14:paraId="16FB2A00" w14:textId="77777777" w:rsidR="00BC38EB" w:rsidRPr="00C1689D" w:rsidRDefault="00BC38EB" w:rsidP="00E96A21">
            <w:pPr>
              <w:pStyle w:val="SJITableText"/>
              <w:rPr>
                <w:szCs w:val="22"/>
              </w:rPr>
            </w:pPr>
            <w:r w:rsidRPr="00C1689D">
              <w:rPr>
                <w:szCs w:val="22"/>
              </w:rPr>
              <w:t>None</w:t>
            </w:r>
          </w:p>
        </w:tc>
        <w:tc>
          <w:tcPr>
            <w:tcW w:w="1854" w:type="pct"/>
          </w:tcPr>
          <w:p w14:paraId="3C86FAF2" w14:textId="77777777" w:rsidR="00BC38EB" w:rsidRPr="00C1689D" w:rsidRDefault="00BC38EB" w:rsidP="00E96A21">
            <w:pPr>
              <w:pStyle w:val="SJITableText"/>
              <w:rPr>
                <w:szCs w:val="22"/>
              </w:rPr>
            </w:pPr>
          </w:p>
        </w:tc>
        <w:tc>
          <w:tcPr>
            <w:tcW w:w="1050" w:type="pct"/>
          </w:tcPr>
          <w:p w14:paraId="2155F18E" w14:textId="77777777" w:rsidR="00BC38EB" w:rsidRPr="00C1689D" w:rsidRDefault="00BC38EB" w:rsidP="00E96A21">
            <w:pPr>
              <w:pStyle w:val="SJITableText"/>
              <w:rPr>
                <w:strike/>
                <w:szCs w:val="22"/>
              </w:rPr>
            </w:pPr>
          </w:p>
        </w:tc>
        <w:tc>
          <w:tcPr>
            <w:tcW w:w="751" w:type="pct"/>
          </w:tcPr>
          <w:p w14:paraId="79208DAE" w14:textId="77777777" w:rsidR="00BC38EB" w:rsidRPr="00C1689D" w:rsidRDefault="00BC38EB" w:rsidP="00E96A21">
            <w:pPr>
              <w:pStyle w:val="SJITableText"/>
              <w:rPr>
                <w:strike/>
                <w:szCs w:val="22"/>
              </w:rPr>
            </w:pPr>
          </w:p>
        </w:tc>
      </w:tr>
      <w:tr w:rsidR="00BC38EB" w:rsidRPr="00C1689D" w14:paraId="77DEC4F6" w14:textId="77777777" w:rsidTr="009928ED">
        <w:trPr>
          <w:trHeight w:val="264"/>
        </w:trPr>
        <w:tc>
          <w:tcPr>
            <w:tcW w:w="1345" w:type="pct"/>
          </w:tcPr>
          <w:p w14:paraId="17643750" w14:textId="77777777" w:rsidR="00BC38EB" w:rsidRPr="00C1689D" w:rsidRDefault="00BC38EB" w:rsidP="00E96A21">
            <w:pPr>
              <w:pStyle w:val="SJITableText"/>
              <w:rPr>
                <w:strike/>
                <w:szCs w:val="22"/>
              </w:rPr>
            </w:pPr>
          </w:p>
        </w:tc>
        <w:tc>
          <w:tcPr>
            <w:tcW w:w="1854" w:type="pct"/>
          </w:tcPr>
          <w:p w14:paraId="7AAAC310" w14:textId="77777777" w:rsidR="00BC38EB" w:rsidRPr="00C1689D" w:rsidRDefault="00BC38EB" w:rsidP="00E96A21">
            <w:pPr>
              <w:pStyle w:val="SJITableText"/>
              <w:rPr>
                <w:szCs w:val="22"/>
              </w:rPr>
            </w:pPr>
            <w:r w:rsidRPr="00C1689D">
              <w:rPr>
                <w:szCs w:val="22"/>
              </w:rPr>
              <w:t>Lewd or lascivious exhibition; defendant less than 18</w:t>
            </w:r>
          </w:p>
        </w:tc>
        <w:tc>
          <w:tcPr>
            <w:tcW w:w="1050" w:type="pct"/>
          </w:tcPr>
          <w:p w14:paraId="040A3633" w14:textId="77777777" w:rsidR="00BC38EB" w:rsidRPr="00C1689D" w:rsidRDefault="00BC38EB" w:rsidP="00E96A21">
            <w:pPr>
              <w:pStyle w:val="SJITableText"/>
              <w:rPr>
                <w:szCs w:val="22"/>
              </w:rPr>
            </w:pPr>
            <w:r w:rsidRPr="00C1689D">
              <w:rPr>
                <w:szCs w:val="22"/>
              </w:rPr>
              <w:t>800.04(7)(c)</w:t>
            </w:r>
          </w:p>
        </w:tc>
        <w:tc>
          <w:tcPr>
            <w:tcW w:w="751" w:type="pct"/>
          </w:tcPr>
          <w:p w14:paraId="16CDFFE5" w14:textId="77777777" w:rsidR="00BC38EB" w:rsidRPr="00C1689D" w:rsidRDefault="00BC38EB" w:rsidP="00E96A21">
            <w:pPr>
              <w:pStyle w:val="SJITableText"/>
              <w:rPr>
                <w:szCs w:val="22"/>
              </w:rPr>
            </w:pPr>
            <w:r w:rsidRPr="00C1689D">
              <w:rPr>
                <w:szCs w:val="22"/>
              </w:rPr>
              <w:t>11.10(e)</w:t>
            </w:r>
          </w:p>
        </w:tc>
      </w:tr>
      <w:tr w:rsidR="00BC38EB" w:rsidRPr="00C1689D" w14:paraId="525542EF" w14:textId="77777777" w:rsidTr="009928ED">
        <w:tc>
          <w:tcPr>
            <w:tcW w:w="1345" w:type="pct"/>
          </w:tcPr>
          <w:p w14:paraId="38370A3A" w14:textId="77777777" w:rsidR="00BC38EB" w:rsidRPr="00C1689D" w:rsidRDefault="00BC38EB" w:rsidP="00E96A21">
            <w:pPr>
              <w:pStyle w:val="SJITableText"/>
              <w:rPr>
                <w:szCs w:val="22"/>
              </w:rPr>
            </w:pPr>
          </w:p>
        </w:tc>
        <w:tc>
          <w:tcPr>
            <w:tcW w:w="1854" w:type="pct"/>
          </w:tcPr>
          <w:p w14:paraId="32902C76" w14:textId="77777777" w:rsidR="00BC38EB" w:rsidRPr="00C1689D" w:rsidRDefault="00BC38EB" w:rsidP="00E96A21">
            <w:pPr>
              <w:pStyle w:val="SJITableText"/>
              <w:rPr>
                <w:szCs w:val="22"/>
              </w:rPr>
            </w:pPr>
            <w:r w:rsidRPr="00C1689D">
              <w:rPr>
                <w:szCs w:val="22"/>
              </w:rPr>
              <w:t>Attempt</w:t>
            </w:r>
          </w:p>
        </w:tc>
        <w:tc>
          <w:tcPr>
            <w:tcW w:w="1050" w:type="pct"/>
          </w:tcPr>
          <w:p w14:paraId="60067917" w14:textId="77777777" w:rsidR="00BC38EB" w:rsidRPr="00C1689D" w:rsidRDefault="00BC38EB" w:rsidP="00E96A21">
            <w:pPr>
              <w:pStyle w:val="SJITableText"/>
              <w:rPr>
                <w:szCs w:val="22"/>
              </w:rPr>
            </w:pPr>
            <w:r w:rsidRPr="00C1689D">
              <w:rPr>
                <w:szCs w:val="22"/>
              </w:rPr>
              <w:t>777.04(1)</w:t>
            </w:r>
          </w:p>
        </w:tc>
        <w:tc>
          <w:tcPr>
            <w:tcW w:w="751" w:type="pct"/>
          </w:tcPr>
          <w:p w14:paraId="73605978" w14:textId="77777777" w:rsidR="00BC38EB" w:rsidRPr="00C1689D" w:rsidRDefault="00BC38EB" w:rsidP="00E96A21">
            <w:pPr>
              <w:pStyle w:val="SJITableText"/>
              <w:rPr>
                <w:szCs w:val="22"/>
              </w:rPr>
            </w:pPr>
            <w:r w:rsidRPr="00C1689D">
              <w:rPr>
                <w:szCs w:val="22"/>
              </w:rPr>
              <w:t>5.1</w:t>
            </w:r>
          </w:p>
        </w:tc>
      </w:tr>
      <w:tr w:rsidR="00BC38EB" w:rsidRPr="00C1689D" w14:paraId="2FB0E6E9" w14:textId="77777777" w:rsidTr="009928ED">
        <w:tc>
          <w:tcPr>
            <w:tcW w:w="1345" w:type="pct"/>
          </w:tcPr>
          <w:p w14:paraId="2BF5ABDC" w14:textId="77777777" w:rsidR="00BC38EB" w:rsidRPr="00C1689D" w:rsidRDefault="00BC38EB" w:rsidP="00E96A21">
            <w:pPr>
              <w:pStyle w:val="SJITableText"/>
              <w:rPr>
                <w:szCs w:val="22"/>
              </w:rPr>
            </w:pPr>
          </w:p>
        </w:tc>
        <w:tc>
          <w:tcPr>
            <w:tcW w:w="1854" w:type="pct"/>
          </w:tcPr>
          <w:p w14:paraId="0ACED305" w14:textId="77777777" w:rsidR="00BC38EB" w:rsidRPr="00C1689D" w:rsidRDefault="00BC38EB" w:rsidP="00E96A21">
            <w:pPr>
              <w:pStyle w:val="SJITableText"/>
              <w:rPr>
                <w:szCs w:val="22"/>
              </w:rPr>
            </w:pPr>
            <w:r w:rsidRPr="00C1689D">
              <w:rPr>
                <w:szCs w:val="22"/>
              </w:rPr>
              <w:t>Exposure of Sexual Organs</w:t>
            </w:r>
          </w:p>
        </w:tc>
        <w:tc>
          <w:tcPr>
            <w:tcW w:w="1050" w:type="pct"/>
          </w:tcPr>
          <w:p w14:paraId="3B820DDB" w14:textId="77777777" w:rsidR="00BC38EB" w:rsidRPr="00C1689D" w:rsidRDefault="00BC38EB" w:rsidP="00E96A21">
            <w:pPr>
              <w:pStyle w:val="SJITableText"/>
              <w:rPr>
                <w:szCs w:val="22"/>
              </w:rPr>
            </w:pPr>
            <w:r w:rsidRPr="00C1689D">
              <w:rPr>
                <w:szCs w:val="22"/>
              </w:rPr>
              <w:t>800.03</w:t>
            </w:r>
          </w:p>
        </w:tc>
        <w:tc>
          <w:tcPr>
            <w:tcW w:w="751" w:type="pct"/>
          </w:tcPr>
          <w:p w14:paraId="075A5664" w14:textId="77777777" w:rsidR="00BC38EB" w:rsidRPr="00C1689D" w:rsidRDefault="00BC38EB" w:rsidP="00E96A21">
            <w:pPr>
              <w:pStyle w:val="SJITableText"/>
              <w:rPr>
                <w:szCs w:val="22"/>
              </w:rPr>
            </w:pPr>
            <w:r w:rsidRPr="00C1689D">
              <w:rPr>
                <w:szCs w:val="22"/>
              </w:rPr>
              <w:t>11.9</w:t>
            </w:r>
          </w:p>
        </w:tc>
      </w:tr>
      <w:tr w:rsidR="00BC38EB" w:rsidRPr="00C1689D" w14:paraId="5E0F5965" w14:textId="77777777" w:rsidTr="009928ED">
        <w:tc>
          <w:tcPr>
            <w:tcW w:w="1345" w:type="pct"/>
          </w:tcPr>
          <w:p w14:paraId="30975568" w14:textId="77777777" w:rsidR="00BC38EB" w:rsidRPr="00C1689D" w:rsidRDefault="00BC38EB" w:rsidP="00E96A21">
            <w:pPr>
              <w:pStyle w:val="SJITableText"/>
              <w:rPr>
                <w:szCs w:val="22"/>
              </w:rPr>
            </w:pPr>
          </w:p>
        </w:tc>
        <w:tc>
          <w:tcPr>
            <w:tcW w:w="1854" w:type="pct"/>
          </w:tcPr>
          <w:p w14:paraId="38B44BAD" w14:textId="77777777" w:rsidR="00BC38EB" w:rsidRPr="00C1689D" w:rsidRDefault="00BC38EB" w:rsidP="00E96A21">
            <w:pPr>
              <w:pStyle w:val="SJITableText"/>
              <w:rPr>
                <w:szCs w:val="22"/>
              </w:rPr>
            </w:pPr>
            <w:r w:rsidRPr="00C1689D">
              <w:rPr>
                <w:szCs w:val="22"/>
              </w:rPr>
              <w:t>Unnatural and lascivious act*</w:t>
            </w:r>
          </w:p>
        </w:tc>
        <w:tc>
          <w:tcPr>
            <w:tcW w:w="1050" w:type="pct"/>
          </w:tcPr>
          <w:p w14:paraId="77C7FDF7" w14:textId="77777777" w:rsidR="00BC38EB" w:rsidRPr="00C1689D" w:rsidRDefault="00BC38EB" w:rsidP="00E96A21">
            <w:pPr>
              <w:pStyle w:val="SJITableText"/>
              <w:rPr>
                <w:szCs w:val="22"/>
              </w:rPr>
            </w:pPr>
            <w:r w:rsidRPr="00C1689D">
              <w:rPr>
                <w:szCs w:val="22"/>
              </w:rPr>
              <w:t>800.02*</w:t>
            </w:r>
          </w:p>
        </w:tc>
        <w:tc>
          <w:tcPr>
            <w:tcW w:w="751" w:type="pct"/>
          </w:tcPr>
          <w:p w14:paraId="4E66EFEE" w14:textId="77777777" w:rsidR="00BC38EB" w:rsidRPr="00C1689D" w:rsidRDefault="00BC38EB" w:rsidP="00E96A21">
            <w:pPr>
              <w:pStyle w:val="SJITableText"/>
              <w:rPr>
                <w:szCs w:val="22"/>
              </w:rPr>
            </w:pPr>
            <w:r w:rsidRPr="00C1689D">
              <w:rPr>
                <w:szCs w:val="22"/>
              </w:rPr>
              <w:t>11.8*</w:t>
            </w:r>
          </w:p>
        </w:tc>
      </w:tr>
    </w:tbl>
    <w:p w14:paraId="0DE57307" w14:textId="77777777" w:rsidR="00BC38EB" w:rsidRPr="00C1689D" w:rsidRDefault="00BC38EB" w:rsidP="00BC38EB">
      <w:pPr>
        <w:pStyle w:val="SJIComments"/>
      </w:pPr>
      <w:r w:rsidRPr="00C1689D">
        <w:t>Comments</w:t>
      </w:r>
    </w:p>
    <w:p w14:paraId="367A8645" w14:textId="77777777" w:rsidR="00BC38EB" w:rsidRDefault="00BC38EB" w:rsidP="000E780D">
      <w:r w:rsidRPr="00C1689D">
        <w:t>*The courts do not require the State to allege the defendant’s act was “unnatural” or “against the laws of nature” for § 800.02, Fla. Stat., to be given as a lesser-included offense.</w:t>
      </w:r>
    </w:p>
    <w:p w14:paraId="2C4E1A53" w14:textId="781978B0" w:rsidR="0051702E" w:rsidRPr="0051702E" w:rsidRDefault="0051702E" w:rsidP="000E780D">
      <w:r w:rsidRPr="0051702E">
        <w:t>*</w:t>
      </w:r>
      <w:r>
        <w:t>*</w:t>
      </w:r>
      <w:r w:rsidRPr="0051702E">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51702E">
        <w:rPr>
          <w:i/>
          <w:iCs/>
        </w:rPr>
        <w:t xml:space="preserve">Flores v. State, </w:t>
      </w:r>
      <w:r w:rsidRPr="0051702E">
        <w:t xml:space="preserve">-- So. 3d -- (Fla. 4th DCA 2024) is an example of an appellate court finding fundamental error when the trial judge expanded the definition of “vaginal penetration” by instructing on “female genital penetration.”  </w:t>
      </w:r>
    </w:p>
    <w:p w14:paraId="157DDDC9" w14:textId="18DBF773" w:rsidR="00BC38EB" w:rsidRPr="00FD6149" w:rsidRDefault="00BC38EB" w:rsidP="000E780D">
      <w:r w:rsidRPr="00C1689D">
        <w:t>There are definitions of “sadomasochistic abuse” and “sexual bestiality” in</w:t>
      </w:r>
      <w:r w:rsidR="000E780D">
        <w:br/>
      </w:r>
      <w:r w:rsidRPr="00C1689D">
        <w:rPr>
          <w:lang w:val="x-none"/>
        </w:rPr>
        <w:t>§</w:t>
      </w:r>
      <w:r w:rsidRPr="00C1689D">
        <w:t xml:space="preserve"> </w:t>
      </w:r>
      <w:r w:rsidRPr="00C1689D">
        <w:rPr>
          <w:lang w:val="x-none"/>
        </w:rPr>
        <w:t>8</w:t>
      </w:r>
      <w:r w:rsidRPr="00C1689D">
        <w:t>47.001,</w:t>
      </w:r>
      <w:r w:rsidRPr="00C1689D">
        <w:rPr>
          <w:lang w:val="x-none"/>
        </w:rPr>
        <w:t xml:space="preserve"> Fla. Stat.</w:t>
      </w:r>
      <w:r w:rsidRPr="00C1689D">
        <w:t xml:space="preserve">, that differ from the definitions in </w:t>
      </w:r>
      <w:r w:rsidRPr="00C1689D">
        <w:rPr>
          <w:lang w:val="x-none"/>
        </w:rPr>
        <w:t>§</w:t>
      </w:r>
      <w:r w:rsidRPr="00C1689D">
        <w:t xml:space="preserve"> </w:t>
      </w:r>
      <w:r w:rsidRPr="00C1689D">
        <w:rPr>
          <w:lang w:val="x-none"/>
        </w:rPr>
        <w:t>8</w:t>
      </w:r>
      <w:r w:rsidRPr="00C1689D">
        <w:t>27.071</w:t>
      </w:r>
      <w:r w:rsidRPr="00C1689D">
        <w:rPr>
          <w:lang w:val="x-none"/>
        </w:rPr>
        <w:t>, Fla. Stat.</w:t>
      </w:r>
      <w:r w:rsidRPr="00C1689D">
        <w:t xml:space="preserve"> As of </w:t>
      </w:r>
      <w:r w:rsidR="00FD6149" w:rsidRPr="00FD6149">
        <w:t>November</w:t>
      </w:r>
      <w:r w:rsidR="00331697" w:rsidRPr="00FD6149">
        <w:t xml:space="preserve"> </w:t>
      </w:r>
      <w:r w:rsidR="008A06AB" w:rsidRPr="00FD6149">
        <w:t>2022</w:t>
      </w:r>
      <w:r w:rsidRPr="00FD6149">
        <w:t>, there is no case law that decides which definition applies for a violation of § 800.04(7)(a), Fla. Stat.</w:t>
      </w:r>
    </w:p>
    <w:p w14:paraId="18B21DE5" w14:textId="77777777" w:rsidR="00F7379D" w:rsidRPr="00FD6149" w:rsidRDefault="00F7379D" w:rsidP="000E780D">
      <w:bookmarkStart w:id="6" w:name="_Hlk116292153"/>
      <w:r w:rsidRPr="00FD6149">
        <w:t>As o</w:t>
      </w:r>
      <w:r w:rsidR="00FD6149" w:rsidRPr="00FD6149">
        <w:t>f November</w:t>
      </w:r>
      <w:r w:rsidRPr="00FD6149">
        <w:t xml:space="preserve"> 2022, it was unclear whether acts done for bona fide medical purposes or a mother’s breastfeeding of her baby should be treated as affirmative defenses or </w:t>
      </w:r>
      <w:r w:rsidR="00FD6149">
        <w:t>as</w:t>
      </w:r>
      <w:r w:rsidRPr="00FD6149">
        <w:t xml:space="preserve"> elements that the State must disprove. If treated as an affirmative defense, the judge must then determine who has the burden of persuasion and what that burden is (preponderance, clear and convincing, or beyond a reasonable doubt).  </w:t>
      </w:r>
    </w:p>
    <w:bookmarkEnd w:id="6"/>
    <w:p w14:paraId="7F872316" w14:textId="77777777" w:rsidR="009435D1" w:rsidRPr="00C1689D" w:rsidRDefault="00BC38EB" w:rsidP="000E780D">
      <w:r w:rsidRPr="00FD6149">
        <w:lastRenderedPageBreak/>
        <w:t>This instruction was adopted in 2008 [998 So. 2d 1138] and amended in 2015 [163 So. 3d 478], 2018 [257 So. 3d 370], on November 20, 2020, on December 15, 2021</w:t>
      </w:r>
      <w:r w:rsidR="008A06AB" w:rsidRPr="00FD6149">
        <w:t xml:space="preserve">, and on </w:t>
      </w:r>
      <w:r w:rsidR="00FD6149" w:rsidRPr="00FD6149">
        <w:t>December 21, 2022.</w:t>
      </w:r>
    </w:p>
    <w:sectPr w:rsidR="009435D1" w:rsidRPr="00C16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A361115"/>
    <w:multiLevelType w:val="hybridMultilevel"/>
    <w:tmpl w:val="FE5493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178CD"/>
    <w:multiLevelType w:val="hybridMultilevel"/>
    <w:tmpl w:val="CA387BEA"/>
    <w:lvl w:ilvl="0" w:tplc="49A6DF16">
      <w:start w:val="1"/>
      <w:numFmt w:val="lowerLetter"/>
      <w:lvlText w:val="%1."/>
      <w:lvlJc w:val="right"/>
      <w:pPr>
        <w:ind w:left="720" w:hanging="360"/>
      </w:pPr>
      <w:rPr>
        <w:rFonts w:cs="Times New Roman"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357A6"/>
    <w:multiLevelType w:val="hybridMultilevel"/>
    <w:tmpl w:val="EBBAC478"/>
    <w:lvl w:ilvl="0" w:tplc="C7A828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426194765">
    <w:abstractNumId w:val="4"/>
  </w:num>
  <w:num w:numId="2" w16cid:durableId="920213333">
    <w:abstractNumId w:val="0"/>
  </w:num>
  <w:num w:numId="3" w16cid:durableId="409615595">
    <w:abstractNumId w:val="0"/>
  </w:num>
  <w:num w:numId="4" w16cid:durableId="1077095766">
    <w:abstractNumId w:val="0"/>
  </w:num>
  <w:num w:numId="5" w16cid:durableId="791171716">
    <w:abstractNumId w:val="3"/>
  </w:num>
  <w:num w:numId="6" w16cid:durableId="977808117">
    <w:abstractNumId w:val="2"/>
  </w:num>
  <w:num w:numId="7" w16cid:durableId="1683580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EB"/>
    <w:rsid w:val="000E780D"/>
    <w:rsid w:val="00130DDA"/>
    <w:rsid w:val="00145D70"/>
    <w:rsid w:val="001D6916"/>
    <w:rsid w:val="00276059"/>
    <w:rsid w:val="002E182B"/>
    <w:rsid w:val="002E2CE8"/>
    <w:rsid w:val="002F372C"/>
    <w:rsid w:val="00316D70"/>
    <w:rsid w:val="00331697"/>
    <w:rsid w:val="00362576"/>
    <w:rsid w:val="003C74CF"/>
    <w:rsid w:val="003E05DE"/>
    <w:rsid w:val="0051702E"/>
    <w:rsid w:val="006C5990"/>
    <w:rsid w:val="006E5013"/>
    <w:rsid w:val="007D1EBA"/>
    <w:rsid w:val="00814F42"/>
    <w:rsid w:val="008A06AB"/>
    <w:rsid w:val="009435D1"/>
    <w:rsid w:val="009928ED"/>
    <w:rsid w:val="00A70A39"/>
    <w:rsid w:val="00B11B59"/>
    <w:rsid w:val="00BA4824"/>
    <w:rsid w:val="00BC38EB"/>
    <w:rsid w:val="00C1689D"/>
    <w:rsid w:val="00D55360"/>
    <w:rsid w:val="00E83AFB"/>
    <w:rsid w:val="00E96A21"/>
    <w:rsid w:val="00F7379D"/>
    <w:rsid w:val="00FC08D1"/>
    <w:rsid w:val="00FD6149"/>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7C630"/>
  <w14:defaultImageDpi w14:val="0"/>
  <w15:docId w15:val="{4A14E8EC-A4DB-4C4E-AAA8-456E7D25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E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C38E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C38E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C38E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C38EB"/>
    <w:pPr>
      <w:outlineLvl w:val="3"/>
    </w:pPr>
  </w:style>
  <w:style w:type="paragraph" w:styleId="Heading5">
    <w:name w:val="heading 5"/>
    <w:basedOn w:val="Normal"/>
    <w:next w:val="Normal"/>
    <w:link w:val="Heading5Char"/>
    <w:uiPriority w:val="9"/>
    <w:qFormat/>
    <w:rsid w:val="00BC38E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C38E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C38E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C38E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C38E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38E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C38E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C38E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C38E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C38E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C38EB"/>
    <w:rPr>
      <w:rFonts w:ascii="Times New Roman" w:hAnsi="Times New Roman" w:cs="Times New Roman"/>
      <w:b/>
      <w:bCs/>
    </w:rPr>
  </w:style>
  <w:style w:type="character" w:customStyle="1" w:styleId="Heading7Char">
    <w:name w:val="Heading 7 Char"/>
    <w:basedOn w:val="DefaultParagraphFont"/>
    <w:link w:val="Heading7"/>
    <w:uiPriority w:val="9"/>
    <w:locked/>
    <w:rsid w:val="00BC38E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C38E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C38E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C38E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C38EB"/>
    <w:pPr>
      <w:tabs>
        <w:tab w:val="left" w:pos="720"/>
      </w:tabs>
      <w:suppressAutoHyphens/>
      <w:spacing w:after="0"/>
    </w:pPr>
    <w:rPr>
      <w:rFonts w:cs="Times New Roman"/>
      <w:i/>
      <w:iCs/>
      <w:szCs w:val="24"/>
    </w:rPr>
  </w:style>
  <w:style w:type="paragraph" w:customStyle="1" w:styleId="SJITableText">
    <w:name w:val="SJI Table Text"/>
    <w:basedOn w:val="Normal"/>
    <w:qFormat/>
    <w:rsid w:val="00BC38E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C38EB"/>
    <w:pPr>
      <w:spacing w:before="220"/>
      <w:ind w:firstLine="0"/>
      <w:jc w:val="center"/>
    </w:pPr>
    <w:rPr>
      <w:rFonts w:cs="Courier New"/>
      <w:b/>
    </w:rPr>
  </w:style>
  <w:style w:type="table" w:customStyle="1" w:styleId="TableGrid1">
    <w:name w:val="Table Grid1"/>
    <w:basedOn w:val="TableNormal"/>
    <w:next w:val="TableGrid"/>
    <w:uiPriority w:val="99"/>
    <w:rsid w:val="00BC38E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C38E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C38EB"/>
    <w:pPr>
      <w:widowControl w:val="0"/>
      <w:autoSpaceDE w:val="0"/>
      <w:autoSpaceDN w:val="0"/>
      <w:adjustRightInd w:val="0"/>
      <w:ind w:left="1296" w:hanging="576"/>
    </w:pPr>
    <w:rPr>
      <w:rFonts w:cs="Times New Roman"/>
    </w:rPr>
  </w:style>
  <w:style w:type="character" w:customStyle="1" w:styleId="SJIBold">
    <w:name w:val="SJI Bold"/>
    <w:uiPriority w:val="1"/>
    <w:qFormat/>
    <w:rsid w:val="00BC38EB"/>
    <w:rPr>
      <w:b/>
    </w:rPr>
  </w:style>
  <w:style w:type="paragraph" w:customStyle="1" w:styleId="SJIText">
    <w:name w:val="SJI Text"/>
    <w:basedOn w:val="Normal"/>
    <w:next w:val="Normal"/>
    <w:qFormat/>
    <w:rsid w:val="00BC38EB"/>
    <w:rPr>
      <w:rFonts w:cs="Times New Roman"/>
    </w:rPr>
  </w:style>
  <w:style w:type="paragraph" w:customStyle="1" w:styleId="SJITableTitle">
    <w:name w:val="SJI Table Title"/>
    <w:basedOn w:val="Normal"/>
    <w:qFormat/>
    <w:rsid w:val="00BC38E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C38E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C38EB"/>
    <w:pPr>
      <w:numPr>
        <w:numId w:val="4"/>
      </w:numPr>
    </w:pPr>
    <w:rPr>
      <w:rFonts w:cs="Times New Roman"/>
    </w:rPr>
  </w:style>
  <w:style w:type="paragraph" w:styleId="ListParagraph">
    <w:name w:val="List Paragraph"/>
    <w:basedOn w:val="Normal"/>
    <w:uiPriority w:val="34"/>
    <w:qFormat/>
    <w:rsid w:val="00BC38EB"/>
    <w:pPr>
      <w:ind w:left="720"/>
    </w:pPr>
  </w:style>
  <w:style w:type="paragraph" w:customStyle="1" w:styleId="SJITableNotation">
    <w:name w:val="SJI Table Notation"/>
    <w:basedOn w:val="SJITableText"/>
    <w:qFormat/>
    <w:rsid w:val="00BC38EB"/>
    <w:pPr>
      <w:spacing w:before="120" w:after="240"/>
    </w:pPr>
  </w:style>
  <w:style w:type="character" w:customStyle="1" w:styleId="SJIUnderline">
    <w:name w:val="SJI Underline"/>
    <w:uiPriority w:val="1"/>
    <w:qFormat/>
    <w:rsid w:val="00BC38EB"/>
    <w:rPr>
      <w:rFonts w:ascii="Times New Roman" w:hAnsi="Times New Roman"/>
      <w:sz w:val="28"/>
      <w:u w:val="single"/>
    </w:rPr>
  </w:style>
  <w:style w:type="paragraph" w:styleId="Caption">
    <w:name w:val="caption"/>
    <w:basedOn w:val="Normal"/>
    <w:next w:val="Normal"/>
    <w:uiPriority w:val="35"/>
    <w:semiHidden/>
    <w:unhideWhenUsed/>
    <w:qFormat/>
    <w:rsid w:val="00BC38E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C38EB"/>
    <w:pPr>
      <w:jc w:val="center"/>
    </w:pPr>
    <w:rPr>
      <w:rFonts w:cs="Times New Roman"/>
      <w:b/>
      <w:bCs/>
      <w:sz w:val="28"/>
      <w:szCs w:val="28"/>
    </w:rPr>
  </w:style>
  <w:style w:type="character" w:customStyle="1" w:styleId="TitleChar">
    <w:name w:val="Title Char"/>
    <w:basedOn w:val="DefaultParagraphFont"/>
    <w:link w:val="Title"/>
    <w:uiPriority w:val="10"/>
    <w:locked/>
    <w:rsid w:val="00BC38E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C38E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C38E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C38E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C38EB"/>
    <w:rPr>
      <w:rFonts w:ascii="Bookman Old Style" w:hAnsi="Bookman Old Style" w:cs="Times New Roman"/>
      <w:color w:val="000000"/>
    </w:rPr>
  </w:style>
  <w:style w:type="paragraph" w:styleId="Quote">
    <w:name w:val="Quote"/>
    <w:basedOn w:val="Normal"/>
    <w:next w:val="Normal"/>
    <w:link w:val="QuoteChar"/>
    <w:uiPriority w:val="29"/>
    <w:qFormat/>
    <w:rsid w:val="00BC38E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C38E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C38E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C38E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C38E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628397">
      <w:bodyDiv w:val="1"/>
      <w:marLeft w:val="0"/>
      <w:marRight w:val="0"/>
      <w:marTop w:val="0"/>
      <w:marBottom w:val="0"/>
      <w:divBdr>
        <w:top w:val="none" w:sz="0" w:space="0" w:color="auto"/>
        <w:left w:val="none" w:sz="0" w:space="0" w:color="auto"/>
        <w:bottom w:val="none" w:sz="0" w:space="0" w:color="auto"/>
        <w:right w:val="none" w:sz="0" w:space="0" w:color="auto"/>
      </w:divBdr>
    </w:div>
    <w:div w:id="2026054266">
      <w:marLeft w:val="0"/>
      <w:marRight w:val="0"/>
      <w:marTop w:val="0"/>
      <w:marBottom w:val="0"/>
      <w:divBdr>
        <w:top w:val="none" w:sz="0" w:space="0" w:color="auto"/>
        <w:left w:val="none" w:sz="0" w:space="0" w:color="auto"/>
        <w:bottom w:val="none" w:sz="0" w:space="0" w:color="auto"/>
        <w:right w:val="none" w:sz="0" w:space="0" w:color="auto"/>
      </w:divBdr>
    </w:div>
    <w:div w:id="2026054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11</cp:revision>
  <dcterms:created xsi:type="dcterms:W3CDTF">2024-09-23T19:06:00Z</dcterms:created>
  <dcterms:modified xsi:type="dcterms:W3CDTF">2024-09-24T19:57:00Z</dcterms:modified>
</cp:coreProperties>
</file>