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F2B4" w14:textId="77777777" w:rsidR="00F96B77" w:rsidRDefault="00F96B77" w:rsidP="00F96B77">
      <w:pPr>
        <w:pStyle w:val="Heading3"/>
      </w:pPr>
      <w:bookmarkStart w:id="0" w:name="_Toc109650416"/>
      <w:bookmarkStart w:id="1" w:name="_Toc109807645"/>
      <w:r>
        <w:t>10.8 THREAT TO THROW, PLACE, PROJECT, OR DISCHARGE ANY DESTRUCTIVE DEVICE</w:t>
      </w:r>
      <w:bookmarkEnd w:id="0"/>
      <w:bookmarkEnd w:id="1"/>
    </w:p>
    <w:p w14:paraId="2C1CD462" w14:textId="77777777" w:rsidR="00F96B77" w:rsidRDefault="00F96B77" w:rsidP="00F96B77">
      <w:pPr>
        <w:pStyle w:val="SJIStatuteinTitle"/>
      </w:pPr>
      <w:r>
        <w:t>§ 790.162, Fla. Stat.</w:t>
      </w:r>
    </w:p>
    <w:p w14:paraId="690C8A24" w14:textId="77777777" w:rsidR="00F96B77" w:rsidRDefault="00F96B77" w:rsidP="00F96B77">
      <w:pPr>
        <w:rPr>
          <w:b/>
        </w:rPr>
      </w:pPr>
      <w:r>
        <w:rPr>
          <w:b/>
        </w:rPr>
        <w:t>To prove the crime of Threat to [Throw] [Place] [Project] [Discharge] Any Destructive Device, the State must prove the following two elements beyond a reasonable doubt:</w:t>
      </w:r>
    </w:p>
    <w:p w14:paraId="211C7F6A" w14:textId="77777777" w:rsidR="00F96B77" w:rsidRDefault="00F96B77" w:rsidP="00F96B77">
      <w:pPr>
        <w:autoSpaceDE w:val="0"/>
        <w:autoSpaceDN w:val="0"/>
        <w:adjustRightInd w:val="0"/>
        <w:spacing w:before="240" w:line="256" w:lineRule="auto"/>
        <w:ind w:left="1440" w:hanging="720"/>
        <w:rPr>
          <w:b/>
        </w:rPr>
      </w:pPr>
      <w:r>
        <w:rPr>
          <w:b/>
        </w:rPr>
        <w:t>1.</w:t>
      </w:r>
      <w:r>
        <w:rPr>
          <w:b/>
        </w:rPr>
        <w:tab/>
      </w:r>
      <w:r w:rsidRPr="003C69FD">
        <w:t>(Defendant)</w:t>
      </w:r>
      <w:r w:rsidRPr="003C69FD">
        <w:rPr>
          <w:b/>
        </w:rPr>
        <w:t xml:space="preserve"> threatened to [throw] [place] [project] [discharge] a destructive device.</w:t>
      </w:r>
    </w:p>
    <w:p w14:paraId="5D50D468" w14:textId="77777777" w:rsidR="00F96B77" w:rsidRDefault="00F96B77" w:rsidP="00F96B77">
      <w:pPr>
        <w:autoSpaceDE w:val="0"/>
        <w:autoSpaceDN w:val="0"/>
        <w:adjustRightInd w:val="0"/>
        <w:spacing w:before="240" w:line="256" w:lineRule="auto"/>
        <w:ind w:left="1440" w:hanging="720"/>
        <w:rPr>
          <w:b/>
        </w:rPr>
      </w:pPr>
      <w:r>
        <w:rPr>
          <w:b/>
        </w:rPr>
        <w:t>2.</w:t>
      </w:r>
      <w:r>
        <w:rPr>
          <w:b/>
        </w:rPr>
        <w:tab/>
        <w:t>The threat conveyed an intent to do [bodily harm to] [damage to the property of] any person.</w:t>
      </w:r>
    </w:p>
    <w:p w14:paraId="00F17DE4" w14:textId="77777777" w:rsidR="00F96B77" w:rsidRDefault="00F96B77" w:rsidP="00F96B77">
      <w:pPr>
        <w:pStyle w:val="SJITextItalic"/>
      </w:pPr>
      <w:r>
        <w:t>Give if requested. Valdes v. State, 443 So. 2d 221 (Fla. 1st DCA 1983); Reid v. State, 405 So. 2d 500 (Fla. 2d DCA 1981).</w:t>
      </w:r>
    </w:p>
    <w:p w14:paraId="4B773AB7" w14:textId="77777777" w:rsidR="00F96B77" w:rsidRPr="004C34E6" w:rsidRDefault="00F96B77" w:rsidP="00F96B77">
      <w:pPr>
        <w:autoSpaceDE w:val="0"/>
        <w:autoSpaceDN w:val="0"/>
        <w:adjustRightInd w:val="0"/>
        <w:spacing w:line="256" w:lineRule="auto"/>
        <w:rPr>
          <w:rStyle w:val="SJIBold"/>
          <w:bCs/>
        </w:rPr>
      </w:pPr>
      <w:r w:rsidRPr="004C34E6">
        <w:rPr>
          <w:rStyle w:val="SJIBold"/>
          <w:bCs/>
        </w:rPr>
        <w:t>It is not necessary for the State to prove the defendant had the actual intent to cause [harm] [or] [damage], or that [he] [she] had the ability to carry out the threat, or</w:t>
      </w:r>
      <w:r>
        <w:rPr>
          <w:rStyle w:val="SJIBold"/>
          <w:bCs/>
        </w:rPr>
        <w:t xml:space="preserve"> </w:t>
      </w:r>
      <w:r w:rsidRPr="004C34E6">
        <w:rPr>
          <w:rStyle w:val="SJIBold"/>
          <w:bCs/>
        </w:rPr>
        <w:t>that there was an actual destructive device.</w:t>
      </w:r>
    </w:p>
    <w:p w14:paraId="381462BD" w14:textId="452F9072" w:rsidR="00F96B77" w:rsidRDefault="00F96B77" w:rsidP="00F96B77">
      <w:pPr>
        <w:pStyle w:val="SJITextItalic"/>
      </w:pPr>
      <w:r>
        <w:t>Definition. Adapt as appropriate. § 790.001, Fla. Stat.</w:t>
      </w:r>
    </w:p>
    <w:p w14:paraId="011CACF4" w14:textId="77777777" w:rsidR="00F96B77" w:rsidRPr="004C34E6" w:rsidRDefault="00F96B77" w:rsidP="00F96B77">
      <w:pPr>
        <w:autoSpaceDE w:val="0"/>
        <w:autoSpaceDN w:val="0"/>
        <w:adjustRightInd w:val="0"/>
        <w:spacing w:line="256" w:lineRule="auto"/>
        <w:rPr>
          <w:rStyle w:val="SJIBold"/>
          <w:bCs/>
        </w:rPr>
      </w:pPr>
      <w:r w:rsidRPr="004C34E6">
        <w:rPr>
          <w:rStyle w:val="SJIBold"/>
          <w:bCs/>
        </w:rPr>
        <w:t xml:space="preserve">A “destructive device” means any bomb, grenade, mine, rocket, missile, </w:t>
      </w:r>
      <w:proofErr w:type="spellStart"/>
      <w:r w:rsidRPr="004C34E6">
        <w:rPr>
          <w:rStyle w:val="SJIBold"/>
          <w:bCs/>
        </w:rPr>
        <w:t>pipebomb</w:t>
      </w:r>
      <w:proofErr w:type="spellEnd"/>
      <w:r w:rsidRPr="004C34E6">
        <w:rPr>
          <w:rStyle w:val="SJIBold"/>
          <w:bCs/>
        </w:rPr>
        <w:t>, or similar device containing an explosive, incendiary, or poison gas and includes any frangible container filled with an explosive, incendiary, explosive gas, or expanding gas, which is designed or so constructed as to explode by such filler and is capable of causing bodily harm or property damage; any combination of parts either designed or intended for use in converting any device into a destructive device and from which a destructive device may be readily assembled; any device declared a destructive device by the Bureau of Alcohol, Tobacco, and Firearms; any type of weapon which will, is designed to, or may readily be converted to expel a projectile by the action of any explosive and which has a barrel with a bore of one-half inch or more in diameter; and ammunition for such destructive devices, but not including shotgun shells or any other ammunition designed for use in a firearm other than a destructive device.</w:t>
      </w:r>
    </w:p>
    <w:p w14:paraId="4423BA46" w14:textId="77777777" w:rsidR="00F96B77" w:rsidRPr="008746AF" w:rsidRDefault="00F96B77" w:rsidP="00F96B77">
      <w:pPr>
        <w:autoSpaceDE w:val="0"/>
        <w:autoSpaceDN w:val="0"/>
        <w:adjustRightInd w:val="0"/>
        <w:spacing w:line="256" w:lineRule="auto"/>
        <w:rPr>
          <w:rStyle w:val="SJIBold"/>
          <w:bCs/>
        </w:rPr>
      </w:pPr>
      <w:r w:rsidRPr="008746AF">
        <w:rPr>
          <w:rStyle w:val="SJIBold"/>
          <w:bCs/>
        </w:rPr>
        <w:t>“Destructive device” does not include:</w:t>
      </w:r>
    </w:p>
    <w:p w14:paraId="29ADDAA9" w14:textId="77777777" w:rsidR="00F96B77" w:rsidRPr="008746AF" w:rsidRDefault="00F96B77" w:rsidP="00F96B77">
      <w:pPr>
        <w:pStyle w:val="ListParagraph"/>
        <w:widowControl w:val="0"/>
        <w:numPr>
          <w:ilvl w:val="0"/>
          <w:numId w:val="2"/>
        </w:numPr>
        <w:autoSpaceDE w:val="0"/>
        <w:autoSpaceDN w:val="0"/>
        <w:adjustRightInd w:val="0"/>
        <w:spacing w:line="256" w:lineRule="auto"/>
        <w:ind w:right="720"/>
        <w:rPr>
          <w:rStyle w:val="SJIBold"/>
          <w:bCs/>
        </w:rPr>
      </w:pPr>
      <w:r w:rsidRPr="008746AF">
        <w:rPr>
          <w:rStyle w:val="SJIBold"/>
          <w:bCs/>
        </w:rPr>
        <w:t xml:space="preserve">A device which is not designed, redesigned, used, or intended for use as a </w:t>
      </w:r>
      <w:proofErr w:type="gramStart"/>
      <w:r w:rsidRPr="008746AF">
        <w:rPr>
          <w:rStyle w:val="SJIBold"/>
          <w:bCs/>
        </w:rPr>
        <w:t>weapon;</w:t>
      </w:r>
      <w:proofErr w:type="gramEnd"/>
    </w:p>
    <w:p w14:paraId="0DAA526D" w14:textId="77777777" w:rsidR="00F96B77" w:rsidRPr="008746AF" w:rsidRDefault="00F96B77" w:rsidP="00F96B77">
      <w:pPr>
        <w:pStyle w:val="ListParagraph"/>
        <w:widowControl w:val="0"/>
        <w:numPr>
          <w:ilvl w:val="0"/>
          <w:numId w:val="2"/>
        </w:numPr>
        <w:autoSpaceDE w:val="0"/>
        <w:autoSpaceDN w:val="0"/>
        <w:adjustRightInd w:val="0"/>
        <w:spacing w:line="256" w:lineRule="auto"/>
        <w:ind w:right="720"/>
        <w:rPr>
          <w:rStyle w:val="SJIBold"/>
          <w:bCs/>
        </w:rPr>
      </w:pPr>
      <w:r w:rsidRPr="008746AF">
        <w:rPr>
          <w:rStyle w:val="SJIBold"/>
          <w:bCs/>
        </w:rPr>
        <w:t>Any device, although originally designed as a weapon, which is</w:t>
      </w:r>
      <w:r>
        <w:rPr>
          <w:rStyle w:val="SJIBold"/>
          <w:bCs/>
        </w:rPr>
        <w:t xml:space="preserve"> </w:t>
      </w:r>
      <w:r w:rsidRPr="008746AF">
        <w:rPr>
          <w:rStyle w:val="SJIBold"/>
          <w:bCs/>
        </w:rPr>
        <w:t xml:space="preserve">redesigned so that it may be used solely as a signaling, line-throwing, safety, or similar </w:t>
      </w:r>
      <w:proofErr w:type="gramStart"/>
      <w:r w:rsidRPr="008746AF">
        <w:rPr>
          <w:rStyle w:val="SJIBold"/>
          <w:bCs/>
        </w:rPr>
        <w:t>device;</w:t>
      </w:r>
      <w:proofErr w:type="gramEnd"/>
    </w:p>
    <w:p w14:paraId="5A28C895" w14:textId="77777777" w:rsidR="00F96B77" w:rsidRPr="008746AF" w:rsidRDefault="00F96B77" w:rsidP="00F96B77">
      <w:pPr>
        <w:pStyle w:val="ListParagraph"/>
        <w:widowControl w:val="0"/>
        <w:numPr>
          <w:ilvl w:val="0"/>
          <w:numId w:val="2"/>
        </w:numPr>
        <w:autoSpaceDE w:val="0"/>
        <w:autoSpaceDN w:val="0"/>
        <w:adjustRightInd w:val="0"/>
        <w:spacing w:line="256" w:lineRule="auto"/>
        <w:ind w:right="720"/>
        <w:rPr>
          <w:rStyle w:val="SJIBold"/>
          <w:bCs/>
        </w:rPr>
      </w:pPr>
      <w:r w:rsidRPr="008746AF">
        <w:rPr>
          <w:rStyle w:val="SJIBold"/>
          <w:bCs/>
        </w:rPr>
        <w:t>Any shotgun other than a short-barreled shotgun; or</w:t>
      </w:r>
    </w:p>
    <w:p w14:paraId="69A3E3AD" w14:textId="77777777" w:rsidR="00F96B77" w:rsidRPr="008746AF" w:rsidRDefault="00F96B77" w:rsidP="00F96B77">
      <w:pPr>
        <w:pStyle w:val="ListParagraph"/>
        <w:widowControl w:val="0"/>
        <w:numPr>
          <w:ilvl w:val="0"/>
          <w:numId w:val="2"/>
        </w:numPr>
        <w:autoSpaceDE w:val="0"/>
        <w:autoSpaceDN w:val="0"/>
        <w:adjustRightInd w:val="0"/>
        <w:spacing w:line="256" w:lineRule="auto"/>
        <w:ind w:right="720"/>
        <w:rPr>
          <w:rStyle w:val="SJIBold"/>
          <w:bCs/>
        </w:rPr>
      </w:pPr>
      <w:r w:rsidRPr="008746AF">
        <w:rPr>
          <w:rStyle w:val="SJIBold"/>
          <w:bCs/>
        </w:rPr>
        <w:t xml:space="preserve">Any nonautomatic rifle (other than a short-barreled rifle) </w:t>
      </w:r>
      <w:r w:rsidRPr="008746AF">
        <w:rPr>
          <w:rStyle w:val="SJIBold"/>
          <w:bCs/>
        </w:rPr>
        <w:lastRenderedPageBreak/>
        <w:t>generally recognized or particularly suitable for use for the hunting of big game.</w:t>
      </w:r>
    </w:p>
    <w:p w14:paraId="4F626519" w14:textId="77777777" w:rsidR="00F96B77" w:rsidRDefault="00F96B77" w:rsidP="00F96B77">
      <w:pPr>
        <w:pStyle w:val="SJIComments"/>
      </w:pPr>
      <w:r>
        <w:t>Lesser Included Offenses</w:t>
      </w:r>
    </w:p>
    <w:p w14:paraId="0CCD5696" w14:textId="77777777" w:rsidR="00F96B77" w:rsidRPr="007B36FF" w:rsidRDefault="00F96B77" w:rsidP="00F96B77">
      <w:pPr>
        <w:pStyle w:val="Heading4"/>
      </w:pPr>
      <w:bookmarkStart w:id="2" w:name="_Toc109650417"/>
      <w:r>
        <w:t>THREAT TO THROW, PROJECT, PLACE, OR DISCHARGE ANY DESTRUCTIVE DEVICE — 790.162</w:t>
      </w:r>
      <w:bookmarkEnd w:id="2"/>
    </w:p>
    <w:tbl>
      <w:tblPr>
        <w:tblStyle w:val="TableGrid1"/>
        <w:tblW w:w="5000" w:type="pct"/>
        <w:tblLook w:val="04A0" w:firstRow="1" w:lastRow="0" w:firstColumn="1" w:lastColumn="0" w:noHBand="0" w:noVBand="1"/>
      </w:tblPr>
      <w:tblGrid>
        <w:gridCol w:w="2991"/>
        <w:gridCol w:w="2992"/>
        <w:gridCol w:w="1964"/>
        <w:gridCol w:w="1403"/>
      </w:tblGrid>
      <w:tr w:rsidR="00F96B77" w14:paraId="6F9CF6AE" w14:textId="77777777" w:rsidTr="000E642B">
        <w:trPr>
          <w:cnfStyle w:val="100000000000" w:firstRow="1" w:lastRow="0" w:firstColumn="0" w:lastColumn="0" w:oddVBand="0" w:evenVBand="0" w:oddHBand="0" w:evenHBand="0" w:firstRowFirstColumn="0" w:firstRowLastColumn="0" w:lastRowFirstColumn="0" w:lastRowLastColumn="0"/>
        </w:trPr>
        <w:tc>
          <w:tcPr>
            <w:tcW w:w="1600" w:type="pct"/>
            <w:hideMark/>
          </w:tcPr>
          <w:p w14:paraId="3C7F7E8D" w14:textId="77777777" w:rsidR="00F96B77" w:rsidRPr="008746AF" w:rsidRDefault="00F96B77" w:rsidP="000E642B">
            <w:pPr>
              <w:pStyle w:val="SJITableText"/>
            </w:pPr>
            <w:r w:rsidRPr="008746AF">
              <w:t>CATEGORY ONE</w:t>
            </w:r>
          </w:p>
        </w:tc>
        <w:tc>
          <w:tcPr>
            <w:tcW w:w="1600" w:type="pct"/>
            <w:hideMark/>
          </w:tcPr>
          <w:p w14:paraId="0226BAB2" w14:textId="77777777" w:rsidR="00F96B77" w:rsidRDefault="00F96B77" w:rsidP="000E642B">
            <w:pPr>
              <w:pStyle w:val="SJITableText"/>
            </w:pPr>
            <w:r>
              <w:t>CATEGORY TWO</w:t>
            </w:r>
          </w:p>
        </w:tc>
        <w:tc>
          <w:tcPr>
            <w:tcW w:w="1050" w:type="pct"/>
            <w:hideMark/>
          </w:tcPr>
          <w:p w14:paraId="22D4FF7B" w14:textId="77777777" w:rsidR="00F96B77" w:rsidRDefault="00F96B77" w:rsidP="000E642B">
            <w:pPr>
              <w:pStyle w:val="SJITableText"/>
            </w:pPr>
            <w:r>
              <w:t>FLA. STAT.</w:t>
            </w:r>
          </w:p>
        </w:tc>
        <w:tc>
          <w:tcPr>
            <w:tcW w:w="750" w:type="pct"/>
            <w:hideMark/>
          </w:tcPr>
          <w:p w14:paraId="6059C9BB" w14:textId="77777777" w:rsidR="00F96B77" w:rsidRDefault="00F96B77" w:rsidP="000E642B">
            <w:pPr>
              <w:pStyle w:val="SJITableText"/>
            </w:pPr>
            <w:r>
              <w:t>INS. NO.</w:t>
            </w:r>
          </w:p>
        </w:tc>
      </w:tr>
      <w:tr w:rsidR="00F96B77" w14:paraId="373C590C" w14:textId="77777777" w:rsidTr="000E642B">
        <w:tc>
          <w:tcPr>
            <w:tcW w:w="1600" w:type="pct"/>
            <w:hideMark/>
          </w:tcPr>
          <w:p w14:paraId="73B052B1" w14:textId="77777777" w:rsidR="00F96B77" w:rsidRDefault="00F96B77" w:rsidP="000E642B">
            <w:pPr>
              <w:pStyle w:val="SJITableText"/>
            </w:pPr>
            <w:r>
              <w:t>None</w:t>
            </w:r>
          </w:p>
        </w:tc>
        <w:tc>
          <w:tcPr>
            <w:tcW w:w="1600" w:type="pct"/>
          </w:tcPr>
          <w:p w14:paraId="4E613647" w14:textId="77777777" w:rsidR="00F96B77" w:rsidRDefault="00F96B77" w:rsidP="000E642B">
            <w:pPr>
              <w:pStyle w:val="SJITableText"/>
            </w:pPr>
          </w:p>
        </w:tc>
        <w:tc>
          <w:tcPr>
            <w:tcW w:w="1050" w:type="pct"/>
          </w:tcPr>
          <w:p w14:paraId="026C23E1" w14:textId="77777777" w:rsidR="00F96B77" w:rsidRDefault="00F96B77" w:rsidP="000E642B">
            <w:pPr>
              <w:pStyle w:val="SJITableText"/>
            </w:pPr>
          </w:p>
        </w:tc>
        <w:tc>
          <w:tcPr>
            <w:tcW w:w="750" w:type="pct"/>
          </w:tcPr>
          <w:p w14:paraId="09A9194D" w14:textId="77777777" w:rsidR="00F96B77" w:rsidRDefault="00F96B77" w:rsidP="000E642B">
            <w:pPr>
              <w:pStyle w:val="SJITableText"/>
            </w:pPr>
          </w:p>
        </w:tc>
      </w:tr>
      <w:tr w:rsidR="00F96B77" w14:paraId="0DE62A65" w14:textId="77777777" w:rsidTr="000E642B">
        <w:tc>
          <w:tcPr>
            <w:tcW w:w="1600" w:type="pct"/>
          </w:tcPr>
          <w:p w14:paraId="2130E310" w14:textId="77777777" w:rsidR="00F96B77" w:rsidRDefault="00F96B77" w:rsidP="000E642B">
            <w:pPr>
              <w:pStyle w:val="SJITableText"/>
            </w:pPr>
          </w:p>
        </w:tc>
        <w:tc>
          <w:tcPr>
            <w:tcW w:w="1600" w:type="pct"/>
            <w:hideMark/>
          </w:tcPr>
          <w:p w14:paraId="6B83B2D4" w14:textId="77777777" w:rsidR="00F96B77" w:rsidRDefault="00F96B77" w:rsidP="000E642B">
            <w:pPr>
              <w:pStyle w:val="SJITableText"/>
            </w:pPr>
            <w:r>
              <w:t>Attempt</w:t>
            </w:r>
          </w:p>
        </w:tc>
        <w:tc>
          <w:tcPr>
            <w:tcW w:w="1050" w:type="pct"/>
            <w:hideMark/>
          </w:tcPr>
          <w:p w14:paraId="36705CF0" w14:textId="77777777" w:rsidR="00F96B77" w:rsidRDefault="00F96B77" w:rsidP="000E642B">
            <w:pPr>
              <w:pStyle w:val="SJITableText"/>
            </w:pPr>
            <w:r>
              <w:t>777.04(1)</w:t>
            </w:r>
          </w:p>
        </w:tc>
        <w:tc>
          <w:tcPr>
            <w:tcW w:w="750" w:type="pct"/>
            <w:hideMark/>
          </w:tcPr>
          <w:p w14:paraId="0FAA28A6" w14:textId="77777777" w:rsidR="00F96B77" w:rsidRDefault="00F96B77" w:rsidP="000E642B">
            <w:pPr>
              <w:pStyle w:val="SJITableText"/>
            </w:pPr>
            <w:r>
              <w:t>5.1</w:t>
            </w:r>
          </w:p>
        </w:tc>
      </w:tr>
      <w:tr w:rsidR="00F96B77" w14:paraId="079F83EC" w14:textId="77777777" w:rsidTr="000E642B">
        <w:tc>
          <w:tcPr>
            <w:tcW w:w="1600" w:type="pct"/>
          </w:tcPr>
          <w:p w14:paraId="51F5201C" w14:textId="77777777" w:rsidR="00F96B77" w:rsidRDefault="00F96B77" w:rsidP="000E642B">
            <w:pPr>
              <w:pStyle w:val="SJITableText"/>
            </w:pPr>
          </w:p>
        </w:tc>
        <w:tc>
          <w:tcPr>
            <w:tcW w:w="1600" w:type="pct"/>
            <w:hideMark/>
          </w:tcPr>
          <w:p w14:paraId="43DDAD96" w14:textId="77777777" w:rsidR="00F96B77" w:rsidRDefault="00F96B77" w:rsidP="000E642B">
            <w:pPr>
              <w:pStyle w:val="SJITableText"/>
            </w:pPr>
            <w:r>
              <w:t>Aggravated Assault</w:t>
            </w:r>
          </w:p>
        </w:tc>
        <w:tc>
          <w:tcPr>
            <w:tcW w:w="1050" w:type="pct"/>
            <w:hideMark/>
          </w:tcPr>
          <w:p w14:paraId="2A591E0C" w14:textId="77777777" w:rsidR="00F96B77" w:rsidRDefault="00F96B77" w:rsidP="000E642B">
            <w:pPr>
              <w:pStyle w:val="SJITableText"/>
            </w:pPr>
            <w:r>
              <w:t>784.021</w:t>
            </w:r>
          </w:p>
        </w:tc>
        <w:tc>
          <w:tcPr>
            <w:tcW w:w="750" w:type="pct"/>
            <w:hideMark/>
          </w:tcPr>
          <w:p w14:paraId="37E281EF" w14:textId="77777777" w:rsidR="00F96B77" w:rsidRDefault="00F96B77" w:rsidP="000E642B">
            <w:pPr>
              <w:pStyle w:val="SJITableText"/>
            </w:pPr>
            <w:r>
              <w:t>8.2</w:t>
            </w:r>
          </w:p>
        </w:tc>
      </w:tr>
      <w:tr w:rsidR="00F96B77" w14:paraId="4F405411" w14:textId="77777777" w:rsidTr="000E642B">
        <w:tc>
          <w:tcPr>
            <w:tcW w:w="1600" w:type="pct"/>
          </w:tcPr>
          <w:p w14:paraId="0D949CE6" w14:textId="77777777" w:rsidR="00F96B77" w:rsidRDefault="00F96B77" w:rsidP="000E642B">
            <w:pPr>
              <w:pStyle w:val="SJITableText"/>
            </w:pPr>
          </w:p>
        </w:tc>
        <w:tc>
          <w:tcPr>
            <w:tcW w:w="1600" w:type="pct"/>
            <w:hideMark/>
          </w:tcPr>
          <w:p w14:paraId="1953E4D2" w14:textId="77777777" w:rsidR="00F96B77" w:rsidRDefault="00F96B77" w:rsidP="000E642B">
            <w:pPr>
              <w:pStyle w:val="SJITableText"/>
            </w:pPr>
            <w:r>
              <w:t>Assault</w:t>
            </w:r>
          </w:p>
        </w:tc>
        <w:tc>
          <w:tcPr>
            <w:tcW w:w="1050" w:type="pct"/>
            <w:hideMark/>
          </w:tcPr>
          <w:p w14:paraId="427E07C8" w14:textId="77777777" w:rsidR="00F96B77" w:rsidRDefault="00F96B77" w:rsidP="000E642B">
            <w:pPr>
              <w:pStyle w:val="SJITableText"/>
            </w:pPr>
            <w:r>
              <w:t>784.011</w:t>
            </w:r>
          </w:p>
        </w:tc>
        <w:tc>
          <w:tcPr>
            <w:tcW w:w="750" w:type="pct"/>
            <w:hideMark/>
          </w:tcPr>
          <w:p w14:paraId="77FD6609" w14:textId="77777777" w:rsidR="00F96B77" w:rsidRDefault="00F96B77" w:rsidP="000E642B">
            <w:pPr>
              <w:pStyle w:val="SJITableText"/>
            </w:pPr>
            <w:r>
              <w:t>8.1</w:t>
            </w:r>
          </w:p>
        </w:tc>
      </w:tr>
    </w:tbl>
    <w:p w14:paraId="71E5E01F" w14:textId="77777777" w:rsidR="00F96B77" w:rsidRDefault="00F96B77" w:rsidP="00F96B77">
      <w:pPr>
        <w:pStyle w:val="SJIComments"/>
      </w:pPr>
      <w:r w:rsidRPr="00F37205">
        <w:t>Comment</w:t>
      </w:r>
    </w:p>
    <w:p w14:paraId="51CBA499" w14:textId="04D7D156" w:rsidR="009435D1" w:rsidRDefault="00F96B77" w:rsidP="00F25D5E">
      <w:pPr>
        <w:pStyle w:val="SJIText"/>
      </w:pPr>
      <w:bookmarkStart w:id="3" w:name="_Toc109650418"/>
      <w:r>
        <w:t>This instruction was adopted in 1981 and was amended in 1989 and 2017.</w:t>
      </w:r>
      <w:bookmarkEnd w:id="3"/>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A156AC5"/>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48253456">
    <w:abstractNumId w:val="2"/>
  </w:num>
  <w:num w:numId="2" w16cid:durableId="1297491111">
    <w:abstractNumId w:val="1"/>
  </w:num>
  <w:num w:numId="3" w16cid:durableId="1463035466">
    <w:abstractNumId w:val="0"/>
  </w:num>
  <w:num w:numId="4" w16cid:durableId="61066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77"/>
    <w:rsid w:val="000E642B"/>
    <w:rsid w:val="00276059"/>
    <w:rsid w:val="003C69FD"/>
    <w:rsid w:val="003D7C87"/>
    <w:rsid w:val="003E05DE"/>
    <w:rsid w:val="004C34E6"/>
    <w:rsid w:val="007B36FF"/>
    <w:rsid w:val="007D1EBA"/>
    <w:rsid w:val="008746AF"/>
    <w:rsid w:val="009435D1"/>
    <w:rsid w:val="00F25D5E"/>
    <w:rsid w:val="00F37205"/>
    <w:rsid w:val="00F9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DBF0A"/>
  <w14:defaultImageDpi w14:val="0"/>
  <w15:docId w15:val="{ED55B520-5D91-4AE7-80DF-3565F0A0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96B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96B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96B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96B77"/>
    <w:pPr>
      <w:outlineLvl w:val="3"/>
    </w:pPr>
  </w:style>
  <w:style w:type="paragraph" w:styleId="Heading5">
    <w:name w:val="heading 5"/>
    <w:basedOn w:val="Normal"/>
    <w:next w:val="Normal"/>
    <w:link w:val="Heading5Char"/>
    <w:uiPriority w:val="9"/>
    <w:qFormat/>
    <w:rsid w:val="00F96B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96B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96B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96B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96B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6B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96B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96B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96B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96B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96B77"/>
    <w:rPr>
      <w:rFonts w:ascii="Times New Roman" w:hAnsi="Times New Roman" w:cs="Times New Roman"/>
      <w:b/>
      <w:bCs/>
    </w:rPr>
  </w:style>
  <w:style w:type="character" w:customStyle="1" w:styleId="Heading7Char">
    <w:name w:val="Heading 7 Char"/>
    <w:basedOn w:val="DefaultParagraphFont"/>
    <w:link w:val="Heading7"/>
    <w:uiPriority w:val="9"/>
    <w:locked/>
    <w:rsid w:val="00F96B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96B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96B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character" w:customStyle="1" w:styleId="SJIBold">
    <w:name w:val="SJI Bold"/>
    <w:uiPriority w:val="1"/>
    <w:qFormat/>
    <w:rsid w:val="00F96B77"/>
    <w:rPr>
      <w:b/>
    </w:rPr>
  </w:style>
  <w:style w:type="paragraph" w:customStyle="1" w:styleId="SJIText">
    <w:name w:val="SJI Text"/>
    <w:basedOn w:val="Normal"/>
    <w:next w:val="Normal"/>
    <w:qFormat/>
    <w:rsid w:val="00F96B77"/>
    <w:rPr>
      <w:rFonts w:cs="Times New Roman"/>
    </w:rPr>
  </w:style>
  <w:style w:type="paragraph" w:customStyle="1" w:styleId="SJIStatuteinTitle">
    <w:name w:val="SJI Statute in Title"/>
    <w:basedOn w:val="Normal"/>
    <w:qFormat/>
    <w:rsid w:val="00F96B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96B77"/>
    <w:pPr>
      <w:tabs>
        <w:tab w:val="left" w:pos="720"/>
      </w:tabs>
      <w:suppressAutoHyphens/>
      <w:spacing w:after="0"/>
    </w:pPr>
    <w:rPr>
      <w:rFonts w:cs="Times New Roman"/>
      <w:i/>
      <w:iCs/>
      <w:szCs w:val="24"/>
    </w:rPr>
  </w:style>
  <w:style w:type="paragraph" w:customStyle="1" w:styleId="SJITableText">
    <w:name w:val="SJI Table Text"/>
    <w:basedOn w:val="Normal"/>
    <w:qFormat/>
    <w:rsid w:val="00F96B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96B77"/>
    <w:pPr>
      <w:spacing w:before="220"/>
      <w:ind w:firstLine="0"/>
      <w:jc w:val="center"/>
    </w:pPr>
    <w:rPr>
      <w:rFonts w:cs="Courier New"/>
      <w:b/>
    </w:rPr>
  </w:style>
  <w:style w:type="paragraph" w:styleId="ListParagraph">
    <w:name w:val="List Paragraph"/>
    <w:basedOn w:val="Normal"/>
    <w:uiPriority w:val="34"/>
    <w:qFormat/>
    <w:rsid w:val="00F96B77"/>
    <w:pPr>
      <w:ind w:left="720"/>
    </w:pPr>
    <w:rPr>
      <w:rFonts w:cs="Times New Roman"/>
    </w:rPr>
  </w:style>
  <w:style w:type="table" w:customStyle="1" w:styleId="TableGrid1">
    <w:name w:val="Table Grid1"/>
    <w:basedOn w:val="TableNormal"/>
    <w:next w:val="TableGrid"/>
    <w:uiPriority w:val="99"/>
    <w:rsid w:val="00F96B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96B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96B77"/>
    <w:pPr>
      <w:widowControl w:val="0"/>
      <w:autoSpaceDE w:val="0"/>
      <w:autoSpaceDN w:val="0"/>
      <w:adjustRightInd w:val="0"/>
      <w:ind w:left="1296" w:hanging="576"/>
    </w:pPr>
    <w:rPr>
      <w:rFonts w:cs="Times New Roman"/>
    </w:rPr>
  </w:style>
  <w:style w:type="paragraph" w:customStyle="1" w:styleId="SJITableTitle">
    <w:name w:val="SJI Table Title"/>
    <w:basedOn w:val="Normal"/>
    <w:qFormat/>
    <w:rsid w:val="00F96B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96B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96B77"/>
    <w:pPr>
      <w:numPr>
        <w:numId w:val="4"/>
      </w:numPr>
    </w:pPr>
  </w:style>
  <w:style w:type="paragraph" w:customStyle="1" w:styleId="SJITableNotation">
    <w:name w:val="SJI Table Notation"/>
    <w:basedOn w:val="SJITableText"/>
    <w:qFormat/>
    <w:rsid w:val="00F96B77"/>
    <w:pPr>
      <w:spacing w:before="120" w:after="240"/>
    </w:pPr>
  </w:style>
  <w:style w:type="character" w:customStyle="1" w:styleId="SJIUnderline">
    <w:name w:val="SJI Underline"/>
    <w:uiPriority w:val="1"/>
    <w:qFormat/>
    <w:rsid w:val="00F96B77"/>
    <w:rPr>
      <w:rFonts w:ascii="Times New Roman" w:hAnsi="Times New Roman"/>
      <w:sz w:val="28"/>
      <w:u w:val="single"/>
    </w:rPr>
  </w:style>
  <w:style w:type="paragraph" w:styleId="Caption">
    <w:name w:val="caption"/>
    <w:basedOn w:val="Normal"/>
    <w:next w:val="Normal"/>
    <w:uiPriority w:val="35"/>
    <w:semiHidden/>
    <w:unhideWhenUsed/>
    <w:qFormat/>
    <w:rsid w:val="00F96B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96B77"/>
    <w:pPr>
      <w:jc w:val="center"/>
    </w:pPr>
    <w:rPr>
      <w:rFonts w:cs="Times New Roman"/>
      <w:b/>
      <w:bCs/>
      <w:sz w:val="28"/>
      <w:szCs w:val="28"/>
    </w:rPr>
  </w:style>
  <w:style w:type="character" w:customStyle="1" w:styleId="TitleChar">
    <w:name w:val="Title Char"/>
    <w:basedOn w:val="DefaultParagraphFont"/>
    <w:link w:val="Title"/>
    <w:uiPriority w:val="10"/>
    <w:locked/>
    <w:rsid w:val="00F96B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96B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96B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96B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96B77"/>
    <w:rPr>
      <w:rFonts w:ascii="Bookman Old Style" w:hAnsi="Bookman Old Style" w:cs="Times New Roman"/>
      <w:color w:val="000000"/>
    </w:rPr>
  </w:style>
  <w:style w:type="paragraph" w:styleId="Quote">
    <w:name w:val="Quote"/>
    <w:basedOn w:val="Normal"/>
    <w:next w:val="Normal"/>
    <w:link w:val="QuoteChar"/>
    <w:uiPriority w:val="29"/>
    <w:qFormat/>
    <w:rsid w:val="00F96B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96B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96B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96B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96B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2023-07-11T18:04:00Z</dcterms:created>
  <dcterms:modified xsi:type="dcterms:W3CDTF">2023-07-12T13:24:00Z</dcterms:modified>
</cp:coreProperties>
</file>