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649FE" w14:textId="0AB312DC" w:rsidR="00417C87" w:rsidRPr="00417C87" w:rsidRDefault="00417C87" w:rsidP="00BA4D31">
      <w:pPr>
        <w:pStyle w:val="Heading3"/>
      </w:pPr>
      <w:r w:rsidRPr="00417C87">
        <w:t>10.4 OPEN CARRYING OF A [FIREARM] [ELECTRIC WEAPON OR DEVICE]</w:t>
      </w:r>
    </w:p>
    <w:p w14:paraId="78C7ED22" w14:textId="77777777" w:rsidR="00473483" w:rsidRPr="00473483" w:rsidRDefault="00473483" w:rsidP="00473483">
      <w:pPr>
        <w:spacing w:after="240" w:line="240" w:lineRule="auto"/>
        <w:jc w:val="center"/>
        <w:rPr>
          <w:rFonts w:ascii="Bookman Old Style" w:eastAsia="Times New Roman" w:hAnsi="Bookman Old Style"/>
          <w:sz w:val="24"/>
          <w:szCs w:val="24"/>
        </w:rPr>
      </w:pPr>
      <w:r w:rsidRPr="00473483">
        <w:rPr>
          <w:rFonts w:ascii="Bookman Old Style" w:eastAsia="Times New Roman" w:hAnsi="Bookman Old Style"/>
          <w:sz w:val="24"/>
          <w:szCs w:val="24"/>
        </w:rPr>
        <w:t>§ 790.053(1), Fla. Stat.</w:t>
      </w:r>
    </w:p>
    <w:p w14:paraId="28E126C4" w14:textId="77777777" w:rsidR="00473483" w:rsidRPr="00473483" w:rsidRDefault="00473483" w:rsidP="00473483">
      <w:pPr>
        <w:spacing w:after="220"/>
        <w:ind w:firstLine="720"/>
        <w:rPr>
          <w:rFonts w:ascii="Bookman Old Style" w:eastAsia="Times New Roman" w:hAnsi="Bookman Old Style" w:cs="Calibri"/>
          <w:b/>
          <w:bCs/>
        </w:rPr>
      </w:pPr>
      <w:r w:rsidRPr="00473483">
        <w:rPr>
          <w:rFonts w:ascii="Bookman Old Style" w:eastAsia="Times New Roman" w:hAnsi="Bookman Old Style" w:cs="Calibri"/>
          <w:b/>
          <w:bCs/>
        </w:rPr>
        <w:t>To prove the crime of Open Carrying of a [Firearm] [Electric Weapon or Device], the State must prove the following two elements beyond a reasonable doubt:</w:t>
      </w:r>
    </w:p>
    <w:p w14:paraId="6098F8F4" w14:textId="77777777" w:rsidR="00473483" w:rsidRPr="00473483" w:rsidRDefault="00473483" w:rsidP="00473483">
      <w:pPr>
        <w:numPr>
          <w:ilvl w:val="0"/>
          <w:numId w:val="5"/>
        </w:numPr>
        <w:spacing w:after="220"/>
        <w:ind w:left="1152" w:hanging="576"/>
        <w:rPr>
          <w:rFonts w:ascii="Bookman Old Style" w:eastAsia="Times New Roman" w:hAnsi="Bookman Old Style"/>
        </w:rPr>
      </w:pPr>
      <w:r w:rsidRPr="00473483">
        <w:rPr>
          <w:rFonts w:ascii="Bookman Old Style" w:eastAsia="Times New Roman" w:hAnsi="Bookman Old Style"/>
        </w:rPr>
        <w:t xml:space="preserve">(Defendant) </w:t>
      </w:r>
      <w:r w:rsidRPr="00473483">
        <w:rPr>
          <w:rFonts w:ascii="Bookman Old Style" w:eastAsia="Times New Roman" w:hAnsi="Bookman Old Style"/>
          <w:b/>
          <w:bCs/>
        </w:rPr>
        <w:t>knowingly carried a [firearm] [electric weapon or device] on or about [his] [her] person.</w:t>
      </w:r>
    </w:p>
    <w:p w14:paraId="67939AFB" w14:textId="77777777" w:rsidR="00473483" w:rsidRPr="00473483" w:rsidRDefault="00473483" w:rsidP="00473483">
      <w:pPr>
        <w:numPr>
          <w:ilvl w:val="0"/>
          <w:numId w:val="5"/>
        </w:numPr>
        <w:spacing w:after="220"/>
        <w:ind w:left="1152" w:hanging="576"/>
        <w:rPr>
          <w:rFonts w:ascii="Bookman Old Style" w:eastAsia="Times New Roman" w:hAnsi="Bookman Old Style"/>
          <w:b/>
          <w:bCs/>
        </w:rPr>
      </w:pPr>
      <w:r w:rsidRPr="00473483">
        <w:rPr>
          <w:rFonts w:ascii="Bookman Old Style" w:eastAsia="Times New Roman" w:hAnsi="Bookman Old Style"/>
          <w:b/>
          <w:bCs/>
        </w:rPr>
        <w:t>The [firearm] [electric weapon or device] was carried openly.</w:t>
      </w:r>
    </w:p>
    <w:p w14:paraId="24AD7011" w14:textId="77777777" w:rsidR="00473483" w:rsidRPr="00473483" w:rsidRDefault="00473483" w:rsidP="00473483">
      <w:pPr>
        <w:spacing w:after="0"/>
        <w:ind w:firstLine="720"/>
        <w:rPr>
          <w:rFonts w:ascii="Bookman Old Style" w:eastAsia="Times New Roman" w:hAnsi="Bookman Old Style"/>
          <w:i/>
          <w:iCs/>
        </w:rPr>
      </w:pPr>
      <w:r w:rsidRPr="00473483">
        <w:rPr>
          <w:rFonts w:ascii="Bookman Old Style" w:eastAsia="Times New Roman" w:hAnsi="Bookman Old Style"/>
          <w:i/>
          <w:iCs/>
        </w:rPr>
        <w:t xml:space="preserve">Give as applicable. § 790.001, Fla. Stat. “Destructive device,” “machine gun,” and “antique firearm” have their own definitions in § 790.001, Fla. Stat.  </w:t>
      </w:r>
    </w:p>
    <w:p w14:paraId="2CB110B2" w14:textId="77777777" w:rsidR="00473483" w:rsidRPr="00473483" w:rsidRDefault="00473483" w:rsidP="00473483">
      <w:pPr>
        <w:spacing w:after="0"/>
        <w:ind w:firstLine="720"/>
        <w:rPr>
          <w:rFonts w:ascii="Bookman Old Style" w:eastAsia="Times New Roman" w:hAnsi="Bookman Old Style"/>
          <w:b/>
          <w:bCs/>
          <w:i/>
          <w:iCs/>
        </w:rPr>
      </w:pPr>
      <w:r w:rsidRPr="00473483">
        <w:rPr>
          <w:rFonts w:ascii="Bookman Old Style" w:eastAsia="Times New Roman" w:hAnsi="Bookman Old Style"/>
          <w:b/>
          <w:bCs/>
        </w:rPr>
        <w:t>“Firearm” means any weapon (including a starter gun) which will, is designed to, or may readily be converted to expel a projectile by the action of an explosive; the frame or receiver of any such weapon; any firearm muffler or firearm silencer; any destructive device; or any machine gun. [The term “firearm” does not include an antique firearm unless the antique firearm is used in the commission of a crime.]</w:t>
      </w:r>
    </w:p>
    <w:p w14:paraId="1FDA524F" w14:textId="77777777" w:rsidR="00473483" w:rsidRPr="00473483" w:rsidRDefault="00473483" w:rsidP="00473483">
      <w:pPr>
        <w:spacing w:before="220" w:after="220"/>
        <w:ind w:firstLine="720"/>
        <w:rPr>
          <w:rFonts w:ascii="Bookman Old Style" w:eastAsia="Times New Roman" w:hAnsi="Bookman Old Style"/>
          <w:b/>
        </w:rPr>
      </w:pPr>
      <w:r w:rsidRPr="00473483">
        <w:rPr>
          <w:rFonts w:ascii="Bookman Old Style" w:eastAsia="Times New Roman" w:hAnsi="Bookman Old Style"/>
          <w:b/>
        </w:rPr>
        <w:t>“Electric weapon or device” means any device which, through the application or use of electrical current, is designed, redesigned, used, or intended to be used for offensive or defensive purposes, the destruction of life, or the infliction of injury.</w:t>
      </w:r>
    </w:p>
    <w:p w14:paraId="15946BC8" w14:textId="77777777" w:rsidR="00473483" w:rsidRPr="00473483" w:rsidRDefault="00473483" w:rsidP="00473483">
      <w:pPr>
        <w:spacing w:after="0"/>
        <w:ind w:firstLine="720"/>
        <w:rPr>
          <w:rFonts w:ascii="Bookman Old Style" w:eastAsia="Times New Roman" w:hAnsi="Bookman Old Style" w:cs="Courier New"/>
          <w:bCs/>
          <w:i/>
          <w:iCs/>
        </w:rPr>
      </w:pPr>
      <w:r w:rsidRPr="00473483">
        <w:rPr>
          <w:rFonts w:ascii="Bookman Old Style" w:eastAsia="Times New Roman" w:hAnsi="Bookman Old Style" w:cs="Courier New"/>
          <w:bCs/>
          <w:i/>
          <w:iCs/>
        </w:rPr>
        <w:t xml:space="preserve">Ensor v. State, 403 So. 2d 349 (Fla. 1981); </w:t>
      </w:r>
      <w:proofErr w:type="spellStart"/>
      <w:r w:rsidRPr="00473483">
        <w:rPr>
          <w:rFonts w:ascii="Bookman Old Style" w:eastAsia="Times New Roman" w:hAnsi="Bookman Old Style" w:cs="Courier New"/>
          <w:bCs/>
          <w:i/>
          <w:iCs/>
        </w:rPr>
        <w:t>Dorelus</w:t>
      </w:r>
      <w:proofErr w:type="spellEnd"/>
      <w:r w:rsidRPr="00473483">
        <w:rPr>
          <w:rFonts w:ascii="Bookman Old Style" w:eastAsia="Times New Roman" w:hAnsi="Bookman Old Style" w:cs="Courier New"/>
          <w:bCs/>
          <w:i/>
          <w:iCs/>
        </w:rPr>
        <w:t xml:space="preserve"> v. State, 747 So. 2d 368 (Fla. 1999). </w:t>
      </w:r>
    </w:p>
    <w:p w14:paraId="79F78B47" w14:textId="77777777" w:rsidR="00473483" w:rsidRPr="00473483" w:rsidRDefault="00473483" w:rsidP="00473483">
      <w:pPr>
        <w:spacing w:after="0"/>
        <w:ind w:firstLine="720"/>
        <w:rPr>
          <w:rFonts w:ascii="Bookman Old Style" w:eastAsia="Times New Roman" w:hAnsi="Bookman Old Style" w:cs="Courier New"/>
          <w:b/>
          <w:bCs/>
        </w:rPr>
      </w:pPr>
      <w:r w:rsidRPr="00473483">
        <w:rPr>
          <w:rFonts w:ascii="Bookman Old Style" w:eastAsia="Times New Roman" w:hAnsi="Bookman Old Style" w:cs="Courier New"/>
          <w:b/>
          <w:bCs/>
        </w:rPr>
        <w:t>The term “on or about [his] [her] person” means physically on the person or readily accessible to [him] [her].</w:t>
      </w:r>
    </w:p>
    <w:p w14:paraId="28A728C4" w14:textId="77777777" w:rsidR="00473483" w:rsidRPr="00473483" w:rsidRDefault="00473483" w:rsidP="000D4583">
      <w:pPr>
        <w:pStyle w:val="SJIComments"/>
      </w:pPr>
      <w:r w:rsidRPr="00473483">
        <w:t>Lesser Included Offense</w:t>
      </w:r>
    </w:p>
    <w:p w14:paraId="2FD3B85A" w14:textId="77777777" w:rsidR="00473483" w:rsidRPr="00473483" w:rsidRDefault="00473483" w:rsidP="000D4583">
      <w:pPr>
        <w:pStyle w:val="Heading4"/>
        <w:rPr>
          <w:rFonts w:eastAsiaTheme="minorEastAsia"/>
        </w:rPr>
      </w:pPr>
      <w:bookmarkStart w:id="0" w:name="_Toc109650956"/>
      <w:r w:rsidRPr="00473483">
        <w:rPr>
          <w:rFonts w:eastAsiaTheme="minorEastAsia"/>
        </w:rPr>
        <w:t xml:space="preserve">OPEN CARRYING OF A [firearm] [electric weapon or device] — </w:t>
      </w:r>
      <w:proofErr w:type="gramStart"/>
      <w:r w:rsidRPr="00473483">
        <w:rPr>
          <w:rFonts w:eastAsiaTheme="minorEastAsia"/>
        </w:rPr>
        <w:t>790.</w:t>
      </w:r>
      <w:bookmarkEnd w:id="0"/>
      <w:r w:rsidRPr="00473483">
        <w:rPr>
          <w:rFonts w:eastAsiaTheme="minorEastAsia"/>
        </w:rPr>
        <w:t>053</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990"/>
        <w:gridCol w:w="2992"/>
        <w:gridCol w:w="1965"/>
        <w:gridCol w:w="1403"/>
      </w:tblGrid>
      <w:tr w:rsidR="00473483" w:rsidRPr="00473483" w14:paraId="584D6F0A" w14:textId="77777777" w:rsidTr="00402A1C">
        <w:tc>
          <w:tcPr>
            <w:tcW w:w="1599" w:type="pct"/>
            <w:shd w:val="clear" w:color="auto" w:fill="auto"/>
          </w:tcPr>
          <w:p w14:paraId="685423AB" w14:textId="77777777" w:rsidR="00473483" w:rsidRPr="00473483" w:rsidRDefault="00473483" w:rsidP="00473483">
            <w:pPr>
              <w:widowControl w:val="0"/>
              <w:autoSpaceDE w:val="0"/>
              <w:autoSpaceDN w:val="0"/>
              <w:adjustRightInd w:val="0"/>
              <w:spacing w:after="0" w:line="240" w:lineRule="auto"/>
              <w:rPr>
                <w:rFonts w:ascii="Bookman Old Style" w:eastAsia="Times New Roman" w:hAnsi="Bookman Old Style"/>
                <w:b/>
                <w:bCs/>
              </w:rPr>
            </w:pPr>
            <w:r w:rsidRPr="00473483">
              <w:rPr>
                <w:rFonts w:ascii="Bookman Old Style" w:eastAsia="Times New Roman" w:hAnsi="Bookman Old Style"/>
                <w:b/>
                <w:bCs/>
              </w:rPr>
              <w:t>CATEGORY ONE</w:t>
            </w:r>
          </w:p>
        </w:tc>
        <w:tc>
          <w:tcPr>
            <w:tcW w:w="1600" w:type="pct"/>
            <w:shd w:val="clear" w:color="auto" w:fill="auto"/>
          </w:tcPr>
          <w:p w14:paraId="7EE94231" w14:textId="77777777" w:rsidR="00473483" w:rsidRPr="00473483" w:rsidRDefault="00473483" w:rsidP="00473483">
            <w:pPr>
              <w:widowControl w:val="0"/>
              <w:autoSpaceDE w:val="0"/>
              <w:autoSpaceDN w:val="0"/>
              <w:adjustRightInd w:val="0"/>
              <w:spacing w:after="0" w:line="240" w:lineRule="auto"/>
              <w:rPr>
                <w:rFonts w:ascii="Bookman Old Style" w:eastAsia="Times New Roman" w:hAnsi="Bookman Old Style"/>
                <w:b/>
                <w:bCs/>
              </w:rPr>
            </w:pPr>
            <w:r w:rsidRPr="00473483">
              <w:rPr>
                <w:rFonts w:ascii="Bookman Old Style" w:eastAsia="Times New Roman" w:hAnsi="Bookman Old Style"/>
                <w:b/>
                <w:bCs/>
              </w:rPr>
              <w:t>CATEGORY TWO</w:t>
            </w:r>
          </w:p>
        </w:tc>
        <w:tc>
          <w:tcPr>
            <w:tcW w:w="1051" w:type="pct"/>
            <w:shd w:val="clear" w:color="auto" w:fill="auto"/>
          </w:tcPr>
          <w:p w14:paraId="559D414B" w14:textId="77777777" w:rsidR="00473483" w:rsidRPr="00473483" w:rsidRDefault="00473483" w:rsidP="00473483">
            <w:pPr>
              <w:widowControl w:val="0"/>
              <w:autoSpaceDE w:val="0"/>
              <w:autoSpaceDN w:val="0"/>
              <w:adjustRightInd w:val="0"/>
              <w:spacing w:after="0" w:line="240" w:lineRule="auto"/>
              <w:rPr>
                <w:rFonts w:ascii="Bookman Old Style" w:eastAsia="Times New Roman" w:hAnsi="Bookman Old Style"/>
                <w:b/>
                <w:bCs/>
              </w:rPr>
            </w:pPr>
            <w:r w:rsidRPr="00473483">
              <w:rPr>
                <w:rFonts w:ascii="Bookman Old Style" w:eastAsia="Times New Roman" w:hAnsi="Bookman Old Style"/>
                <w:b/>
                <w:bCs/>
              </w:rPr>
              <w:t>FLA. STAT.</w:t>
            </w:r>
          </w:p>
        </w:tc>
        <w:tc>
          <w:tcPr>
            <w:tcW w:w="750" w:type="pct"/>
            <w:shd w:val="clear" w:color="auto" w:fill="auto"/>
          </w:tcPr>
          <w:p w14:paraId="0CDEBEE1" w14:textId="77777777" w:rsidR="00473483" w:rsidRPr="00473483" w:rsidRDefault="00473483" w:rsidP="00473483">
            <w:pPr>
              <w:widowControl w:val="0"/>
              <w:autoSpaceDE w:val="0"/>
              <w:autoSpaceDN w:val="0"/>
              <w:adjustRightInd w:val="0"/>
              <w:spacing w:after="0" w:line="240" w:lineRule="auto"/>
              <w:rPr>
                <w:rFonts w:ascii="Bookman Old Style" w:eastAsia="Times New Roman" w:hAnsi="Bookman Old Style"/>
                <w:b/>
                <w:bCs/>
              </w:rPr>
            </w:pPr>
            <w:r w:rsidRPr="00473483">
              <w:rPr>
                <w:rFonts w:ascii="Bookman Old Style" w:eastAsia="Times New Roman" w:hAnsi="Bookman Old Style"/>
                <w:b/>
                <w:bCs/>
              </w:rPr>
              <w:t>INS. NO.</w:t>
            </w:r>
          </w:p>
        </w:tc>
      </w:tr>
      <w:tr w:rsidR="00473483" w:rsidRPr="00473483" w14:paraId="32FE94A3" w14:textId="77777777" w:rsidTr="00402A1C">
        <w:tc>
          <w:tcPr>
            <w:tcW w:w="1599" w:type="pct"/>
            <w:shd w:val="clear" w:color="auto" w:fill="auto"/>
          </w:tcPr>
          <w:p w14:paraId="2DA9C067" w14:textId="77777777" w:rsidR="00473483" w:rsidRPr="00473483" w:rsidRDefault="00473483" w:rsidP="00473483">
            <w:pPr>
              <w:widowControl w:val="0"/>
              <w:autoSpaceDE w:val="0"/>
              <w:autoSpaceDN w:val="0"/>
              <w:adjustRightInd w:val="0"/>
              <w:spacing w:after="0" w:line="240" w:lineRule="auto"/>
              <w:rPr>
                <w:rFonts w:ascii="Bookman Old Style" w:eastAsia="Times New Roman" w:hAnsi="Bookman Old Style"/>
                <w:bCs/>
              </w:rPr>
            </w:pPr>
            <w:r w:rsidRPr="00473483">
              <w:rPr>
                <w:rFonts w:ascii="Bookman Old Style" w:eastAsia="Times New Roman" w:hAnsi="Bookman Old Style"/>
                <w:bCs/>
              </w:rPr>
              <w:t xml:space="preserve">None </w:t>
            </w:r>
          </w:p>
        </w:tc>
        <w:tc>
          <w:tcPr>
            <w:tcW w:w="1600" w:type="pct"/>
            <w:shd w:val="clear" w:color="auto" w:fill="auto"/>
          </w:tcPr>
          <w:p w14:paraId="64470D3A" w14:textId="77777777" w:rsidR="00473483" w:rsidRPr="00473483" w:rsidRDefault="00473483" w:rsidP="00473483">
            <w:pPr>
              <w:widowControl w:val="0"/>
              <w:autoSpaceDE w:val="0"/>
              <w:autoSpaceDN w:val="0"/>
              <w:adjustRightInd w:val="0"/>
              <w:spacing w:after="0" w:line="240" w:lineRule="auto"/>
              <w:rPr>
                <w:rFonts w:ascii="Bookman Old Style" w:eastAsia="Times New Roman" w:hAnsi="Bookman Old Style"/>
                <w:bCs/>
              </w:rPr>
            </w:pPr>
          </w:p>
        </w:tc>
        <w:tc>
          <w:tcPr>
            <w:tcW w:w="1051" w:type="pct"/>
            <w:shd w:val="clear" w:color="auto" w:fill="auto"/>
          </w:tcPr>
          <w:p w14:paraId="14D353CC" w14:textId="77777777" w:rsidR="00473483" w:rsidRPr="00473483" w:rsidRDefault="00473483" w:rsidP="00473483">
            <w:pPr>
              <w:widowControl w:val="0"/>
              <w:autoSpaceDE w:val="0"/>
              <w:autoSpaceDN w:val="0"/>
              <w:adjustRightInd w:val="0"/>
              <w:spacing w:after="0" w:line="240" w:lineRule="auto"/>
              <w:rPr>
                <w:rFonts w:ascii="Bookman Old Style" w:eastAsia="Times New Roman" w:hAnsi="Bookman Old Style"/>
                <w:bCs/>
              </w:rPr>
            </w:pPr>
          </w:p>
        </w:tc>
        <w:tc>
          <w:tcPr>
            <w:tcW w:w="750" w:type="pct"/>
            <w:shd w:val="clear" w:color="auto" w:fill="auto"/>
          </w:tcPr>
          <w:p w14:paraId="0A4277E7" w14:textId="77777777" w:rsidR="00473483" w:rsidRPr="00473483" w:rsidRDefault="00473483" w:rsidP="00473483">
            <w:pPr>
              <w:widowControl w:val="0"/>
              <w:autoSpaceDE w:val="0"/>
              <w:autoSpaceDN w:val="0"/>
              <w:adjustRightInd w:val="0"/>
              <w:spacing w:after="0" w:line="240" w:lineRule="auto"/>
              <w:rPr>
                <w:rFonts w:ascii="Bookman Old Style" w:eastAsia="Times New Roman" w:hAnsi="Bookman Old Style"/>
                <w:bCs/>
              </w:rPr>
            </w:pPr>
          </w:p>
        </w:tc>
      </w:tr>
      <w:tr w:rsidR="00473483" w:rsidRPr="00473483" w14:paraId="1DFB441C" w14:textId="77777777" w:rsidTr="00402A1C">
        <w:tc>
          <w:tcPr>
            <w:tcW w:w="1599" w:type="pct"/>
            <w:shd w:val="clear" w:color="auto" w:fill="auto"/>
          </w:tcPr>
          <w:p w14:paraId="6B990223" w14:textId="77777777" w:rsidR="00473483" w:rsidRPr="00473483" w:rsidRDefault="00473483" w:rsidP="00473483">
            <w:pPr>
              <w:widowControl w:val="0"/>
              <w:autoSpaceDE w:val="0"/>
              <w:autoSpaceDN w:val="0"/>
              <w:adjustRightInd w:val="0"/>
              <w:spacing w:after="0" w:line="240" w:lineRule="auto"/>
              <w:rPr>
                <w:rFonts w:ascii="Bookman Old Style" w:eastAsia="Times New Roman" w:hAnsi="Bookman Old Style"/>
                <w:bCs/>
              </w:rPr>
            </w:pPr>
          </w:p>
        </w:tc>
        <w:tc>
          <w:tcPr>
            <w:tcW w:w="1600" w:type="pct"/>
            <w:shd w:val="clear" w:color="auto" w:fill="auto"/>
          </w:tcPr>
          <w:p w14:paraId="67F3D925" w14:textId="77777777" w:rsidR="00473483" w:rsidRPr="00473483" w:rsidRDefault="00473483" w:rsidP="00473483">
            <w:pPr>
              <w:widowControl w:val="0"/>
              <w:autoSpaceDE w:val="0"/>
              <w:autoSpaceDN w:val="0"/>
              <w:adjustRightInd w:val="0"/>
              <w:spacing w:after="0" w:line="240" w:lineRule="auto"/>
              <w:rPr>
                <w:rFonts w:ascii="Bookman Old Style" w:eastAsia="Times New Roman" w:hAnsi="Bookman Old Style"/>
                <w:bCs/>
              </w:rPr>
            </w:pPr>
            <w:r w:rsidRPr="00473483">
              <w:rPr>
                <w:rFonts w:ascii="Bookman Old Style" w:eastAsia="Times New Roman" w:hAnsi="Bookman Old Style"/>
                <w:bCs/>
              </w:rPr>
              <w:t xml:space="preserve">Attempt </w:t>
            </w:r>
          </w:p>
        </w:tc>
        <w:tc>
          <w:tcPr>
            <w:tcW w:w="1051" w:type="pct"/>
            <w:shd w:val="clear" w:color="auto" w:fill="auto"/>
          </w:tcPr>
          <w:p w14:paraId="10DE57F5" w14:textId="77777777" w:rsidR="00473483" w:rsidRPr="00473483" w:rsidRDefault="00473483" w:rsidP="00473483">
            <w:pPr>
              <w:widowControl w:val="0"/>
              <w:autoSpaceDE w:val="0"/>
              <w:autoSpaceDN w:val="0"/>
              <w:adjustRightInd w:val="0"/>
              <w:spacing w:after="0" w:line="240" w:lineRule="auto"/>
              <w:rPr>
                <w:rFonts w:ascii="Bookman Old Style" w:eastAsia="Times New Roman" w:hAnsi="Bookman Old Style"/>
                <w:bCs/>
              </w:rPr>
            </w:pPr>
            <w:r w:rsidRPr="00473483">
              <w:rPr>
                <w:rFonts w:ascii="Bookman Old Style" w:eastAsia="Times New Roman" w:hAnsi="Bookman Old Style"/>
                <w:bCs/>
              </w:rPr>
              <w:t>777.04</w:t>
            </w:r>
          </w:p>
        </w:tc>
        <w:tc>
          <w:tcPr>
            <w:tcW w:w="750" w:type="pct"/>
            <w:shd w:val="clear" w:color="auto" w:fill="auto"/>
          </w:tcPr>
          <w:p w14:paraId="3CE0FA9E" w14:textId="77777777" w:rsidR="00473483" w:rsidRPr="00473483" w:rsidRDefault="00473483" w:rsidP="00473483">
            <w:pPr>
              <w:widowControl w:val="0"/>
              <w:autoSpaceDE w:val="0"/>
              <w:autoSpaceDN w:val="0"/>
              <w:adjustRightInd w:val="0"/>
              <w:spacing w:after="0" w:line="240" w:lineRule="auto"/>
              <w:rPr>
                <w:rFonts w:ascii="Bookman Old Style" w:eastAsia="Times New Roman" w:hAnsi="Bookman Old Style"/>
                <w:bCs/>
              </w:rPr>
            </w:pPr>
            <w:r w:rsidRPr="00473483">
              <w:rPr>
                <w:rFonts w:ascii="Bookman Old Style" w:eastAsia="Times New Roman" w:hAnsi="Bookman Old Style"/>
                <w:bCs/>
              </w:rPr>
              <w:t>5.1</w:t>
            </w:r>
          </w:p>
        </w:tc>
      </w:tr>
    </w:tbl>
    <w:p w14:paraId="4B70AF4D" w14:textId="77777777" w:rsidR="00473483" w:rsidRPr="00473483" w:rsidRDefault="00473483" w:rsidP="000D4583">
      <w:pPr>
        <w:pStyle w:val="SJIComments"/>
      </w:pPr>
      <w:r w:rsidRPr="00473483">
        <w:t>Comments</w:t>
      </w:r>
    </w:p>
    <w:p w14:paraId="3D02019A" w14:textId="77777777" w:rsidR="00473483" w:rsidRPr="00473483" w:rsidRDefault="00473483" w:rsidP="00473483">
      <w:pPr>
        <w:spacing w:after="220"/>
        <w:ind w:left="360" w:firstLine="360"/>
        <w:rPr>
          <w:rFonts w:ascii="Bookman Old Style" w:eastAsia="Times New Roman" w:hAnsi="Bookman Old Style" w:cs="Calibri"/>
        </w:rPr>
      </w:pPr>
      <w:r w:rsidRPr="00473483">
        <w:rPr>
          <w:rFonts w:ascii="Bookman Old Style" w:eastAsia="Times New Roman" w:hAnsi="Bookman Old Style" w:cs="Calibri"/>
        </w:rPr>
        <w:t xml:space="preserve">§ 790.053(1) Fla. Stat. states that it is not a violation of the statute for a person who carried a concealed firearm as authorized in § 790.01(1), Fla. Stat., to </w:t>
      </w:r>
      <w:proofErr w:type="gramStart"/>
      <w:r w:rsidRPr="00473483">
        <w:rPr>
          <w:rFonts w:ascii="Bookman Old Style" w:eastAsia="Times New Roman" w:hAnsi="Bookman Old Style" w:cs="Calibri"/>
        </w:rPr>
        <w:t>briefly and openly display the firearm</w:t>
      </w:r>
      <w:proofErr w:type="gramEnd"/>
      <w:r w:rsidRPr="00473483">
        <w:rPr>
          <w:rFonts w:ascii="Bookman Old Style" w:eastAsia="Times New Roman" w:hAnsi="Bookman Old Style" w:cs="Calibri"/>
        </w:rPr>
        <w:t xml:space="preserve"> to the ordinary sight of another person, unless the firearm was intentionally displayed in an angry or threatening manner, not in necessary self-defense. As of November 2023, it was unclear whether those circumstances should be treated as affirmative defenses or as elements. </w:t>
      </w:r>
    </w:p>
    <w:p w14:paraId="2BDFC09F" w14:textId="3A8AF512" w:rsidR="00994644" w:rsidRPr="00EC4B1D" w:rsidRDefault="00473483" w:rsidP="00473483">
      <w:pPr>
        <w:spacing w:after="220"/>
        <w:ind w:left="360" w:firstLine="360"/>
      </w:pPr>
      <w:r w:rsidRPr="00473483">
        <w:rPr>
          <w:rFonts w:ascii="Bookman Old Style" w:eastAsia="Times New Roman" w:hAnsi="Bookman Old Style" w:cs="Calibri"/>
        </w:rPr>
        <w:t>This instruction was adopted on December 15, 2023.</w:t>
      </w:r>
    </w:p>
    <w:sectPr w:rsidR="00994644" w:rsidRPr="00EC4B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Fontdinerdotcom Sparkly">
    <w:charset w:val="00"/>
    <w:family w:val="auto"/>
    <w:pitch w:val="variable"/>
    <w:sig w:usb0="A00000AF" w:usb1="4000204A"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CADA2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3D065D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850766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9FEE4C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A42D79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E4AF5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E8C8A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2BCAD9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2EC11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EEA98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4F06F3"/>
    <w:multiLevelType w:val="hybridMultilevel"/>
    <w:tmpl w:val="9D76497C"/>
    <w:lvl w:ilvl="0" w:tplc="83FA8806">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3B26AC2"/>
    <w:multiLevelType w:val="hybridMultilevel"/>
    <w:tmpl w:val="59E4E9B6"/>
    <w:lvl w:ilvl="0" w:tplc="89D40BE2">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037DB9"/>
    <w:multiLevelType w:val="hybridMultilevel"/>
    <w:tmpl w:val="6742D884"/>
    <w:lvl w:ilvl="0" w:tplc="7360A46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B863DD6"/>
    <w:multiLevelType w:val="hybridMultilevel"/>
    <w:tmpl w:val="D7CA0562"/>
    <w:lvl w:ilvl="0" w:tplc="0B203B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BD8429E"/>
    <w:multiLevelType w:val="hybridMultilevel"/>
    <w:tmpl w:val="82F42F6C"/>
    <w:lvl w:ilvl="0" w:tplc="8F9CD9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2617812">
    <w:abstractNumId w:val="14"/>
  </w:num>
  <w:num w:numId="2" w16cid:durableId="1014310812">
    <w:abstractNumId w:val="11"/>
  </w:num>
  <w:num w:numId="3" w16cid:durableId="905185848">
    <w:abstractNumId w:val="12"/>
  </w:num>
  <w:num w:numId="4" w16cid:durableId="964778206">
    <w:abstractNumId w:val="13"/>
  </w:num>
  <w:num w:numId="5" w16cid:durableId="1544902926">
    <w:abstractNumId w:val="10"/>
  </w:num>
  <w:num w:numId="6" w16cid:durableId="546843808">
    <w:abstractNumId w:val="9"/>
  </w:num>
  <w:num w:numId="7" w16cid:durableId="2072843420">
    <w:abstractNumId w:val="7"/>
  </w:num>
  <w:num w:numId="8" w16cid:durableId="1255240107">
    <w:abstractNumId w:val="6"/>
  </w:num>
  <w:num w:numId="9" w16cid:durableId="1330862215">
    <w:abstractNumId w:val="5"/>
  </w:num>
  <w:num w:numId="10" w16cid:durableId="1151873569">
    <w:abstractNumId w:val="4"/>
  </w:num>
  <w:num w:numId="11" w16cid:durableId="448279454">
    <w:abstractNumId w:val="8"/>
  </w:num>
  <w:num w:numId="12" w16cid:durableId="1803839162">
    <w:abstractNumId w:val="3"/>
  </w:num>
  <w:num w:numId="13" w16cid:durableId="1610695237">
    <w:abstractNumId w:val="2"/>
  </w:num>
  <w:num w:numId="14" w16cid:durableId="1145048987">
    <w:abstractNumId w:val="1"/>
  </w:num>
  <w:num w:numId="15" w16cid:durableId="2060325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5CB"/>
    <w:rsid w:val="000140F7"/>
    <w:rsid w:val="0003432D"/>
    <w:rsid w:val="000437F5"/>
    <w:rsid w:val="00045E0C"/>
    <w:rsid w:val="000A7BCA"/>
    <w:rsid w:val="000D4583"/>
    <w:rsid w:val="000F569C"/>
    <w:rsid w:val="001A7165"/>
    <w:rsid w:val="001B0AE6"/>
    <w:rsid w:val="001D17FA"/>
    <w:rsid w:val="001E7951"/>
    <w:rsid w:val="0022370F"/>
    <w:rsid w:val="00417C87"/>
    <w:rsid w:val="004461C2"/>
    <w:rsid w:val="004648FB"/>
    <w:rsid w:val="00473483"/>
    <w:rsid w:val="004E1ADD"/>
    <w:rsid w:val="004E6A09"/>
    <w:rsid w:val="00591958"/>
    <w:rsid w:val="005F1C2F"/>
    <w:rsid w:val="005F66D6"/>
    <w:rsid w:val="0061202F"/>
    <w:rsid w:val="006225BE"/>
    <w:rsid w:val="00692E00"/>
    <w:rsid w:val="006A113E"/>
    <w:rsid w:val="006F5068"/>
    <w:rsid w:val="0080714C"/>
    <w:rsid w:val="008472BF"/>
    <w:rsid w:val="008C69D7"/>
    <w:rsid w:val="00994644"/>
    <w:rsid w:val="00A325CB"/>
    <w:rsid w:val="00A86E3F"/>
    <w:rsid w:val="00B17321"/>
    <w:rsid w:val="00B337E3"/>
    <w:rsid w:val="00BA4D31"/>
    <w:rsid w:val="00C32FF2"/>
    <w:rsid w:val="00C339D1"/>
    <w:rsid w:val="00D07EC3"/>
    <w:rsid w:val="00D37218"/>
    <w:rsid w:val="00DA279A"/>
    <w:rsid w:val="00DB7510"/>
    <w:rsid w:val="00DC3B24"/>
    <w:rsid w:val="00DD28CA"/>
    <w:rsid w:val="00DF5579"/>
    <w:rsid w:val="00E40C36"/>
    <w:rsid w:val="00E64DE3"/>
    <w:rsid w:val="00EC4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27437"/>
  <w15:chartTrackingRefBased/>
  <w15:docId w15:val="{90411683-770E-4B24-9803-CB4572865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D31"/>
    <w:pPr>
      <w:spacing w:after="160" w:line="259" w:lineRule="auto"/>
    </w:pPr>
    <w:rPr>
      <w:sz w:val="22"/>
      <w:szCs w:val="22"/>
    </w:rPr>
  </w:style>
  <w:style w:type="paragraph" w:styleId="Heading3">
    <w:name w:val="heading 3"/>
    <w:basedOn w:val="Normal"/>
    <w:next w:val="Normal"/>
    <w:link w:val="Heading3Char"/>
    <w:uiPriority w:val="9"/>
    <w:unhideWhenUsed/>
    <w:qFormat/>
    <w:rsid w:val="00BA4D31"/>
    <w:pPr>
      <w:spacing w:after="0" w:line="240" w:lineRule="auto"/>
      <w:jc w:val="center"/>
      <w:outlineLvl w:val="2"/>
    </w:pPr>
    <w:rPr>
      <w:rFonts w:ascii="Bookman Old Style" w:eastAsiaTheme="majorEastAsia" w:hAnsi="Bookman Old Style"/>
      <w:b/>
      <w:bCs/>
      <w:iCs/>
      <w:caps/>
      <w:color w:val="000000"/>
      <w:sz w:val="24"/>
      <w:szCs w:val="24"/>
    </w:rPr>
  </w:style>
  <w:style w:type="paragraph" w:styleId="Heading4">
    <w:name w:val="heading 4"/>
    <w:basedOn w:val="Normal"/>
    <w:next w:val="Normal"/>
    <w:link w:val="Heading4Char"/>
    <w:uiPriority w:val="9"/>
    <w:qFormat/>
    <w:rsid w:val="0080714C"/>
    <w:pPr>
      <w:pBdr>
        <w:top w:val="single" w:sz="24" w:space="0" w:color="E7E6E6"/>
        <w:left w:val="single" w:sz="24" w:space="0" w:color="E7E6E6"/>
        <w:bottom w:val="single" w:sz="24" w:space="0" w:color="E7E6E6"/>
        <w:right w:val="single" w:sz="24" w:space="0" w:color="E7E6E6"/>
      </w:pBdr>
      <w:shd w:val="clear" w:color="auto" w:fill="E7E6E6"/>
      <w:spacing w:before="100" w:after="0" w:line="276" w:lineRule="auto"/>
      <w:jc w:val="center"/>
      <w:outlineLvl w:val="3"/>
    </w:pPr>
    <w:rPr>
      <w:rFonts w:ascii="Bookman Old Style" w:eastAsia="Times New Roman" w:hAnsi="Bookman Old Style"/>
      <w:b/>
      <w:b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25CB"/>
    <w:pPr>
      <w:ind w:left="720"/>
      <w:contextualSpacing/>
    </w:pPr>
  </w:style>
  <w:style w:type="character" w:customStyle="1" w:styleId="Heading4Char">
    <w:name w:val="Heading 4 Char"/>
    <w:link w:val="Heading4"/>
    <w:uiPriority w:val="9"/>
    <w:rsid w:val="0080714C"/>
    <w:rPr>
      <w:rFonts w:ascii="Bookman Old Style" w:eastAsia="Times New Roman" w:hAnsi="Bookman Old Style"/>
      <w:b/>
      <w:bCs/>
      <w:caps/>
      <w:sz w:val="22"/>
      <w:szCs w:val="22"/>
      <w:shd w:val="clear" w:color="auto" w:fill="E7E6E6"/>
    </w:rPr>
  </w:style>
  <w:style w:type="paragraph" w:customStyle="1" w:styleId="SJITableText">
    <w:name w:val="SJI Table Text"/>
    <w:basedOn w:val="Normal"/>
    <w:qFormat/>
    <w:rsid w:val="0080714C"/>
    <w:pPr>
      <w:widowControl w:val="0"/>
      <w:autoSpaceDE w:val="0"/>
      <w:autoSpaceDN w:val="0"/>
      <w:adjustRightInd w:val="0"/>
      <w:spacing w:after="0" w:line="240" w:lineRule="auto"/>
    </w:pPr>
    <w:rPr>
      <w:rFonts w:ascii="Bookman Old Style" w:eastAsia="Times New Roman" w:hAnsi="Bookman Old Style"/>
      <w:bCs/>
      <w:szCs w:val="20"/>
    </w:rPr>
  </w:style>
  <w:style w:type="paragraph" w:customStyle="1" w:styleId="SJIComments">
    <w:name w:val="SJI Comments"/>
    <w:basedOn w:val="Normal"/>
    <w:qFormat/>
    <w:rsid w:val="0080714C"/>
    <w:pPr>
      <w:spacing w:before="220" w:after="220"/>
      <w:jc w:val="center"/>
    </w:pPr>
    <w:rPr>
      <w:rFonts w:ascii="Bookman Old Style" w:eastAsia="Times New Roman" w:hAnsi="Bookman Old Style" w:cs="Courier New"/>
      <w:b/>
    </w:rPr>
  </w:style>
  <w:style w:type="table" w:customStyle="1" w:styleId="TableGrid1">
    <w:name w:val="Table Grid1"/>
    <w:basedOn w:val="TableNormal"/>
    <w:next w:val="TableGrid"/>
    <w:uiPriority w:val="99"/>
    <w:rsid w:val="0080714C"/>
    <w:pPr>
      <w:widowControl w:val="0"/>
      <w:autoSpaceDE w:val="0"/>
      <w:autoSpaceDN w:val="0"/>
      <w:adjustRightInd w:val="0"/>
    </w:pPr>
    <w:rPr>
      <w:rFonts w:ascii="Bookman Old Style" w:eastAsia="Times New Roman" w:hAnsi="Bookman Old Style"/>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Fontdinerdotcom Sparkly" w:hAnsi="Fontdinerdotcom Sparkly" w:cs="Times New Roman"/>
        <w:b/>
        <w:sz w:val="22"/>
      </w:rPr>
    </w:tblStylePr>
  </w:style>
  <w:style w:type="table" w:styleId="TableGrid">
    <w:name w:val="Table Grid"/>
    <w:basedOn w:val="TableNormal"/>
    <w:uiPriority w:val="39"/>
    <w:rsid w:val="008071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BA4D31"/>
    <w:rPr>
      <w:rFonts w:ascii="Bookman Old Style" w:eastAsiaTheme="majorEastAsia" w:hAnsi="Bookman Old Style"/>
      <w:b/>
      <w:bCs/>
      <w:iCs/>
      <w:cap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318</Words>
  <Characters>1816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Trawick, Daryl</dc:creator>
  <cp:keywords/>
  <dc:description/>
  <cp:lastModifiedBy>Susan</cp:lastModifiedBy>
  <cp:revision>8</cp:revision>
  <dcterms:created xsi:type="dcterms:W3CDTF">2023-12-16T01:08:00Z</dcterms:created>
  <dcterms:modified xsi:type="dcterms:W3CDTF">2023-12-18T16:57:00Z</dcterms:modified>
</cp:coreProperties>
</file>