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7054" w14:textId="77777777" w:rsidR="001337E3" w:rsidRPr="00670DBE" w:rsidRDefault="001337E3" w:rsidP="001337E3">
      <w:pPr>
        <w:pStyle w:val="Heading3"/>
      </w:pPr>
      <w:bookmarkStart w:id="0" w:name="_Toc8284372"/>
      <w:bookmarkStart w:id="1" w:name="_Toc8284569"/>
      <w:bookmarkStart w:id="2" w:name="_Toc109650426"/>
      <w:bookmarkStart w:id="3" w:name="_Toc109807650"/>
      <w:r w:rsidRPr="00670DBE">
        <w:t>10.13 SHOOTING OR THROWING A [MISSILE] [STONE] [HARD SUBSTANCE] [AT] [WITHIN] [INTO] [IN] A[N] [BUILDING] [VEHICLE] [VESSEL] [AIRCRAFT]</w:t>
      </w:r>
      <w:bookmarkEnd w:id="0"/>
      <w:bookmarkEnd w:id="1"/>
      <w:bookmarkEnd w:id="2"/>
      <w:bookmarkEnd w:id="3"/>
    </w:p>
    <w:p w14:paraId="7A3B284B" w14:textId="77777777" w:rsidR="001337E3" w:rsidRPr="00670DBE" w:rsidRDefault="001337E3" w:rsidP="001337E3">
      <w:pPr>
        <w:pStyle w:val="SJIStatuteinTitle"/>
      </w:pPr>
      <w:r w:rsidRPr="00670DBE">
        <w:t>§ 790.19, Fla. Stat.</w:t>
      </w:r>
    </w:p>
    <w:p w14:paraId="4A85C706" w14:textId="77777777" w:rsidR="001337E3" w:rsidRPr="00670DBE" w:rsidRDefault="001337E3" w:rsidP="001337E3">
      <w:pPr>
        <w:tabs>
          <w:tab w:val="left" w:pos="720"/>
        </w:tabs>
        <w:suppressAutoHyphens/>
        <w:rPr>
          <w:b/>
          <w:bCs/>
        </w:rPr>
      </w:pPr>
      <w:r w:rsidRPr="00670DBE">
        <w:rPr>
          <w:b/>
          <w:bCs/>
        </w:rPr>
        <w:t>To prove the crime of</w:t>
      </w:r>
      <w:r w:rsidRPr="00670DBE">
        <w:t xml:space="preserve"> (crime charged)</w:t>
      </w:r>
      <w:r w:rsidRPr="00670DBE">
        <w:rPr>
          <w:b/>
          <w:bCs/>
        </w:rPr>
        <w:t>,</w:t>
      </w:r>
      <w:r w:rsidRPr="00670DBE">
        <w:t xml:space="preserve"> </w:t>
      </w:r>
      <w:r w:rsidRPr="00670DBE">
        <w:rPr>
          <w:b/>
          <w:bCs/>
        </w:rPr>
        <w:t>the State must prove the following three elements beyond a reasonable doubt:</w:t>
      </w:r>
    </w:p>
    <w:p w14:paraId="0930FBBD" w14:textId="77777777" w:rsidR="001337E3" w:rsidRPr="00670DBE" w:rsidRDefault="001337E3" w:rsidP="001337E3">
      <w:pPr>
        <w:pStyle w:val="SJITextItalic"/>
      </w:pPr>
      <w:r w:rsidRPr="00670DBE">
        <w:t xml:space="preserve">Give </w:t>
      </w:r>
      <w:r w:rsidRPr="00670DBE">
        <w:rPr>
          <w:bCs/>
        </w:rPr>
        <w:t>1a–1c</w:t>
      </w:r>
      <w:r w:rsidRPr="00670DBE">
        <w:t xml:space="preserve"> as applicable.</w:t>
      </w:r>
    </w:p>
    <w:p w14:paraId="37362ADF" w14:textId="77777777" w:rsidR="001337E3" w:rsidRPr="008960ED" w:rsidRDefault="001337E3" w:rsidP="000C18E6">
      <w:pPr>
        <w:pStyle w:val="ListParagraph"/>
        <w:numPr>
          <w:ilvl w:val="0"/>
          <w:numId w:val="2"/>
        </w:numPr>
        <w:ind w:left="1296" w:hanging="576"/>
      </w:pPr>
      <w:r w:rsidRPr="008960ED">
        <w:t>(Defendant)</w:t>
      </w:r>
    </w:p>
    <w:p w14:paraId="3417831B" w14:textId="77777777" w:rsidR="001337E3" w:rsidRPr="00975A7E" w:rsidRDefault="001337E3" w:rsidP="000C18E6">
      <w:pPr>
        <w:pStyle w:val="ListParagraph"/>
        <w:numPr>
          <w:ilvl w:val="1"/>
          <w:numId w:val="2"/>
        </w:numPr>
        <w:tabs>
          <w:tab w:val="clear" w:pos="1440"/>
        </w:tabs>
        <w:ind w:left="1710"/>
        <w:rPr>
          <w:b/>
          <w:bCs/>
        </w:rPr>
      </w:pPr>
      <w:r w:rsidRPr="00975A7E">
        <w:rPr>
          <w:b/>
          <w:bCs/>
        </w:rPr>
        <w:t>[shot] [or] [threw] a missile that would produce death or great bodily harm.</w:t>
      </w:r>
    </w:p>
    <w:p w14:paraId="050D7156" w14:textId="77777777" w:rsidR="001337E3" w:rsidRPr="00975A7E" w:rsidRDefault="001337E3" w:rsidP="000C18E6">
      <w:pPr>
        <w:pStyle w:val="ListParagraph"/>
        <w:numPr>
          <w:ilvl w:val="1"/>
          <w:numId w:val="2"/>
        </w:numPr>
        <w:tabs>
          <w:tab w:val="clear" w:pos="1440"/>
        </w:tabs>
        <w:ind w:left="1710"/>
        <w:rPr>
          <w:b/>
          <w:bCs/>
        </w:rPr>
      </w:pPr>
      <w:r w:rsidRPr="00975A7E">
        <w:rPr>
          <w:b/>
          <w:bCs/>
        </w:rPr>
        <w:t>hurled or projected a stone or other hard substance that would produce death or great bodily harm.</w:t>
      </w:r>
    </w:p>
    <w:p w14:paraId="6FC1B181" w14:textId="77777777" w:rsidR="001337E3" w:rsidRPr="00975A7E" w:rsidRDefault="001337E3" w:rsidP="000C18E6">
      <w:pPr>
        <w:pStyle w:val="ListParagraph"/>
        <w:numPr>
          <w:ilvl w:val="1"/>
          <w:numId w:val="2"/>
        </w:numPr>
        <w:tabs>
          <w:tab w:val="clear" w:pos="1440"/>
        </w:tabs>
        <w:ind w:left="1710"/>
        <w:rPr>
          <w:b/>
          <w:bCs/>
        </w:rPr>
      </w:pPr>
      <w:r w:rsidRPr="00975A7E">
        <w:rPr>
          <w:b/>
          <w:bCs/>
        </w:rPr>
        <w:t>*shot a firearm that would produce death or great bodily harm.</w:t>
      </w:r>
    </w:p>
    <w:p w14:paraId="74C383B7" w14:textId="77777777" w:rsidR="001337E3" w:rsidRPr="00670DBE" w:rsidRDefault="001337E3" w:rsidP="001337E3">
      <w:pPr>
        <w:pStyle w:val="SJITextItalic"/>
      </w:pPr>
      <w:r w:rsidRPr="00670DBE">
        <w:t xml:space="preserve">Give 2a–2f as applicable. </w:t>
      </w:r>
    </w:p>
    <w:p w14:paraId="0BA10C61" w14:textId="77777777" w:rsidR="001337E3" w:rsidRPr="00670DBE" w:rsidRDefault="001337E3" w:rsidP="000C18E6">
      <w:pPr>
        <w:numPr>
          <w:ilvl w:val="0"/>
          <w:numId w:val="3"/>
        </w:numPr>
        <w:tabs>
          <w:tab w:val="clear" w:pos="1440"/>
        </w:tabs>
        <w:suppressAutoHyphens/>
        <w:spacing w:line="240" w:lineRule="auto"/>
        <w:ind w:left="1296" w:hanging="576"/>
        <w:rPr>
          <w:b/>
          <w:bCs/>
        </w:rPr>
      </w:pPr>
      <w:r w:rsidRPr="00670DBE">
        <w:rPr>
          <w:b/>
          <w:bCs/>
        </w:rPr>
        <w:t>[He] [She] did so [at] [within] [into] [in]</w:t>
      </w:r>
    </w:p>
    <w:p w14:paraId="3C649352" w14:textId="77777777" w:rsidR="001337E3" w:rsidRPr="00ED656A" w:rsidRDefault="001337E3" w:rsidP="000C18E6">
      <w:pPr>
        <w:pStyle w:val="ListParagraph"/>
        <w:numPr>
          <w:ilvl w:val="1"/>
          <w:numId w:val="4"/>
        </w:numPr>
        <w:tabs>
          <w:tab w:val="clear" w:pos="1440"/>
        </w:tabs>
        <w:ind w:left="1710"/>
        <w:rPr>
          <w:b/>
          <w:bCs/>
        </w:rPr>
      </w:pPr>
      <w:r w:rsidRPr="00ED656A">
        <w:rPr>
          <w:b/>
          <w:bCs/>
        </w:rPr>
        <w:t>a public or private building, occupied or unoccupied.</w:t>
      </w:r>
    </w:p>
    <w:p w14:paraId="79747F76" w14:textId="77777777" w:rsidR="001337E3" w:rsidRPr="00ED656A" w:rsidRDefault="001337E3" w:rsidP="000C18E6">
      <w:pPr>
        <w:pStyle w:val="ListParagraph"/>
        <w:numPr>
          <w:ilvl w:val="1"/>
          <w:numId w:val="4"/>
        </w:numPr>
        <w:tabs>
          <w:tab w:val="clear" w:pos="1440"/>
        </w:tabs>
        <w:ind w:left="1710"/>
        <w:rPr>
          <w:b/>
          <w:bCs/>
        </w:rPr>
      </w:pPr>
      <w:r w:rsidRPr="00ED656A">
        <w:rPr>
          <w:b/>
          <w:bCs/>
        </w:rPr>
        <w:t>a public or private bus, that was being used or occupied by any person.</w:t>
      </w:r>
    </w:p>
    <w:p w14:paraId="054AC76F" w14:textId="77777777" w:rsidR="001337E3" w:rsidRPr="00ED656A" w:rsidRDefault="001337E3" w:rsidP="000C18E6">
      <w:pPr>
        <w:pStyle w:val="ListParagraph"/>
        <w:numPr>
          <w:ilvl w:val="1"/>
          <w:numId w:val="4"/>
        </w:numPr>
        <w:tabs>
          <w:tab w:val="clear" w:pos="1440"/>
        </w:tabs>
        <w:ind w:left="1710"/>
        <w:rPr>
          <w:b/>
          <w:bCs/>
        </w:rPr>
      </w:pPr>
      <w:r w:rsidRPr="00ED656A">
        <w:rPr>
          <w:b/>
          <w:bCs/>
        </w:rPr>
        <w:t>a train, locomotive, railway car, caboose, cable railway car, street railway car, or monorail car that was being used or occupied by any person.</w:t>
      </w:r>
    </w:p>
    <w:p w14:paraId="20D1A0A7" w14:textId="77777777" w:rsidR="001337E3" w:rsidRPr="00ED656A" w:rsidRDefault="001337E3" w:rsidP="000C18E6">
      <w:pPr>
        <w:pStyle w:val="ListParagraph"/>
        <w:numPr>
          <w:ilvl w:val="1"/>
          <w:numId w:val="4"/>
        </w:numPr>
        <w:tabs>
          <w:tab w:val="clear" w:pos="1440"/>
        </w:tabs>
        <w:ind w:left="1710"/>
        <w:rPr>
          <w:b/>
          <w:bCs/>
        </w:rPr>
      </w:pPr>
      <w:r w:rsidRPr="00ED656A">
        <w:rPr>
          <w:b/>
          <w:bCs/>
        </w:rPr>
        <w:t>a vehicle of any kind that was being used or occupied by any person.</w:t>
      </w:r>
    </w:p>
    <w:p w14:paraId="250CEA68" w14:textId="77777777" w:rsidR="001337E3" w:rsidRPr="00ED656A" w:rsidRDefault="001337E3" w:rsidP="000C18E6">
      <w:pPr>
        <w:pStyle w:val="ListParagraph"/>
        <w:numPr>
          <w:ilvl w:val="1"/>
          <w:numId w:val="4"/>
        </w:numPr>
        <w:tabs>
          <w:tab w:val="clear" w:pos="1440"/>
        </w:tabs>
        <w:ind w:left="1710"/>
        <w:rPr>
          <w:b/>
          <w:bCs/>
        </w:rPr>
      </w:pPr>
      <w:r w:rsidRPr="00ED656A">
        <w:rPr>
          <w:b/>
          <w:bCs/>
        </w:rPr>
        <w:t>a boat, vessel, ship, or barge lying in or plying the waters of this state.</w:t>
      </w:r>
    </w:p>
    <w:p w14:paraId="7B89530C" w14:textId="77777777" w:rsidR="001337E3" w:rsidRPr="00ED656A" w:rsidRDefault="001337E3" w:rsidP="000C18E6">
      <w:pPr>
        <w:pStyle w:val="ListParagraph"/>
        <w:numPr>
          <w:ilvl w:val="1"/>
          <w:numId w:val="4"/>
        </w:numPr>
        <w:tabs>
          <w:tab w:val="clear" w:pos="1440"/>
        </w:tabs>
        <w:ind w:left="1710"/>
        <w:rPr>
          <w:b/>
          <w:bCs/>
        </w:rPr>
      </w:pPr>
      <w:r w:rsidRPr="00ED656A">
        <w:rPr>
          <w:b/>
          <w:bCs/>
        </w:rPr>
        <w:t xml:space="preserve">an aircraft </w:t>
      </w:r>
      <w:proofErr w:type="gramStart"/>
      <w:r w:rsidRPr="00ED656A">
        <w:rPr>
          <w:b/>
          <w:bCs/>
        </w:rPr>
        <w:t>flying through the air</w:t>
      </w:r>
      <w:proofErr w:type="gramEnd"/>
      <w:r w:rsidRPr="00ED656A">
        <w:rPr>
          <w:b/>
          <w:bCs/>
        </w:rPr>
        <w:t xml:space="preserve"> space of this state.</w:t>
      </w:r>
    </w:p>
    <w:p w14:paraId="5E43E732" w14:textId="77777777" w:rsidR="001337E3" w:rsidRPr="00670DBE" w:rsidRDefault="001337E3" w:rsidP="000C18E6">
      <w:pPr>
        <w:numPr>
          <w:ilvl w:val="0"/>
          <w:numId w:val="3"/>
        </w:numPr>
        <w:tabs>
          <w:tab w:val="clear" w:pos="1440"/>
        </w:tabs>
        <w:suppressAutoHyphens/>
        <w:spacing w:line="240" w:lineRule="auto"/>
        <w:ind w:left="1296" w:hanging="576"/>
        <w:rPr>
          <w:b/>
          <w:bCs/>
        </w:rPr>
      </w:pPr>
      <w:r w:rsidRPr="00670DBE">
        <w:rPr>
          <w:b/>
          <w:bCs/>
        </w:rPr>
        <w:t>The defendant’s act was done wantonly or maliciously.</w:t>
      </w:r>
    </w:p>
    <w:p w14:paraId="6E096278" w14:textId="77777777" w:rsidR="001337E3" w:rsidRPr="00670DBE" w:rsidRDefault="001337E3" w:rsidP="001337E3">
      <w:pPr>
        <w:pStyle w:val="SJITextItalic"/>
        <w:rPr>
          <w:strike/>
        </w:rPr>
      </w:pPr>
      <w:r w:rsidRPr="00670DBE">
        <w:t xml:space="preserve">State v. </w:t>
      </w:r>
      <w:proofErr w:type="spellStart"/>
      <w:r w:rsidRPr="00670DBE">
        <w:t>Kettell</w:t>
      </w:r>
      <w:proofErr w:type="spellEnd"/>
      <w:r w:rsidRPr="00670DBE">
        <w:t>, 980 So. 2d 1061 (Fla. 2008).</w:t>
      </w:r>
    </w:p>
    <w:p w14:paraId="791398B7" w14:textId="77777777" w:rsidR="001337E3" w:rsidRPr="00670DBE" w:rsidRDefault="001337E3" w:rsidP="001337E3">
      <w:pPr>
        <w:tabs>
          <w:tab w:val="left" w:pos="720"/>
        </w:tabs>
        <w:suppressAutoHyphens/>
        <w:rPr>
          <w:b/>
          <w:bCs/>
        </w:rPr>
      </w:pPr>
      <w:r w:rsidRPr="00670DBE">
        <w:rPr>
          <w:b/>
          <w:bCs/>
        </w:rPr>
        <w:t>“Wantonly” means consciously and intentionally, with reckless indifference to consequences and with the knowledge that damage is likely to be done to some person.</w:t>
      </w:r>
    </w:p>
    <w:p w14:paraId="7FD69FE2" w14:textId="77777777" w:rsidR="001337E3" w:rsidRPr="00670DBE" w:rsidRDefault="001337E3" w:rsidP="001337E3">
      <w:pPr>
        <w:pStyle w:val="SJITextItalic"/>
      </w:pPr>
      <w:r w:rsidRPr="00670DBE">
        <w:t xml:space="preserve">State v. </w:t>
      </w:r>
      <w:proofErr w:type="spellStart"/>
      <w:r w:rsidRPr="00670DBE">
        <w:t>Kettell</w:t>
      </w:r>
      <w:proofErr w:type="spellEnd"/>
      <w:r w:rsidRPr="00670DBE">
        <w:t>, 980 So. 2d 1061 (Fla. 2008).</w:t>
      </w:r>
    </w:p>
    <w:p w14:paraId="67C0A799" w14:textId="77777777" w:rsidR="001337E3" w:rsidRPr="00670DBE" w:rsidRDefault="001337E3" w:rsidP="001337E3">
      <w:pPr>
        <w:tabs>
          <w:tab w:val="left" w:pos="720"/>
        </w:tabs>
        <w:suppressAutoHyphens/>
        <w:rPr>
          <w:b/>
          <w:bCs/>
        </w:rPr>
      </w:pPr>
      <w:r w:rsidRPr="00670DBE">
        <w:rPr>
          <w:b/>
          <w:bCs/>
        </w:rPr>
        <w:t>“Maliciously” means wrongfully, intentionally, without legal justification or excuse, and with the knowledge that injury or damage will or may be caused to another person or the property of another person.</w:t>
      </w:r>
    </w:p>
    <w:p w14:paraId="64EA7438" w14:textId="78C0FC62" w:rsidR="001337E3" w:rsidRPr="00670DBE" w:rsidRDefault="001337E3" w:rsidP="001337E3">
      <w:pPr>
        <w:pStyle w:val="SJITextItalic"/>
      </w:pPr>
      <w:r w:rsidRPr="00670DBE">
        <w:lastRenderedPageBreak/>
        <w:t>Give if applicable. § 790.001, Fla. Stat.</w:t>
      </w:r>
    </w:p>
    <w:p w14:paraId="117967CE" w14:textId="044A4284" w:rsidR="001337E3" w:rsidRPr="007F369C" w:rsidRDefault="001337E3" w:rsidP="001337E3">
      <w:pPr>
        <w:rPr>
          <w:bCs/>
          <w:i/>
        </w:rPr>
      </w:pPr>
      <w:r w:rsidRPr="00670DBE">
        <w:rPr>
          <w:b/>
          <w:bCs/>
        </w:rPr>
        <w:t xml:space="preserve">A “firearm” means any weapon [including a starter gun] which will, is designed to, or may readily be converted to expel a projectile by the action of an explosive; [the frame or receiver of any such weapon;] [any firearm muffler or firearm silencer;] [any destructive device;] [any machine gun]. [The term “firearm” does not include an antique firearm unless the antique firearm is used in the commission of another crime. An “antique firearm” is </w:t>
      </w:r>
      <w:r w:rsidRPr="00670DBE">
        <w:rPr>
          <w:bCs/>
          <w:i/>
          <w:iCs/>
        </w:rPr>
        <w:t>(</w:t>
      </w:r>
      <w:r w:rsidRPr="00670DBE">
        <w:rPr>
          <w:i/>
          <w:iCs/>
        </w:rPr>
        <w:t>insert definition in 790.001, Fla. Stat.)</w:t>
      </w:r>
      <w:r w:rsidRPr="00670DBE">
        <w:rPr>
          <w:b/>
          <w:iCs/>
        </w:rPr>
        <w:t>]</w:t>
      </w:r>
      <w:r>
        <w:rPr>
          <w:b/>
          <w:iCs/>
        </w:rPr>
        <w:t>.</w:t>
      </w:r>
      <w:r w:rsidR="007F369C">
        <w:rPr>
          <w:b/>
          <w:iCs/>
        </w:rPr>
        <w:t xml:space="preserve"> </w:t>
      </w:r>
      <w:r w:rsidR="007F369C">
        <w:rPr>
          <w:bCs/>
          <w:i/>
        </w:rPr>
        <w:t>Destructive device is defined in § 790.001, Fla. Stat.</w:t>
      </w:r>
    </w:p>
    <w:p w14:paraId="79900D0B" w14:textId="77777777" w:rsidR="001337E3" w:rsidRPr="00670DBE" w:rsidRDefault="001337E3" w:rsidP="001337E3">
      <w:pPr>
        <w:pStyle w:val="SJITextItalic"/>
      </w:pPr>
      <w:r w:rsidRPr="00670DBE">
        <w:t>Wheeler v. State, 203 So. 3d 1007 (Fla. 4th DCA 2016).</w:t>
      </w:r>
    </w:p>
    <w:p w14:paraId="26515C94" w14:textId="77777777" w:rsidR="001337E3" w:rsidRPr="00670DBE" w:rsidRDefault="001337E3" w:rsidP="001337E3">
      <w:pPr>
        <w:rPr>
          <w:b/>
        </w:rPr>
      </w:pPr>
      <w:r w:rsidRPr="00670DBE">
        <w:rPr>
          <w:b/>
        </w:rPr>
        <w:t xml:space="preserve">“Great bodily harm” means great as distinguished from slight, trivial, minor, or moderate harm, and as such does not include mere bruises. </w:t>
      </w:r>
    </w:p>
    <w:p w14:paraId="1A595DBA" w14:textId="77777777" w:rsidR="001337E3" w:rsidRPr="00670DBE" w:rsidRDefault="001337E3" w:rsidP="001337E3">
      <w:pPr>
        <w:pStyle w:val="SJITextItalic"/>
      </w:pPr>
      <w:r w:rsidRPr="00670DBE">
        <w:t>Give if applicable. Polite v. State, 454 So. 2d 769 (Fla. 1st DCA 1984).</w:t>
      </w:r>
    </w:p>
    <w:p w14:paraId="716D78BE" w14:textId="77777777" w:rsidR="001337E3" w:rsidRPr="00670DBE" w:rsidRDefault="001337E3" w:rsidP="001337E3">
      <w:pPr>
        <w:tabs>
          <w:tab w:val="left" w:pos="720"/>
        </w:tabs>
        <w:suppressAutoHyphens/>
        <w:rPr>
          <w:b/>
          <w:bCs/>
        </w:rPr>
      </w:pPr>
      <w:r w:rsidRPr="00670DBE">
        <w:rPr>
          <w:b/>
          <w:bCs/>
        </w:rPr>
        <w:t xml:space="preserve">It is not necessary for the State to prove a defendant acted with malevolence </w:t>
      </w:r>
      <w:r w:rsidRPr="00670DBE">
        <w:rPr>
          <w:b/>
          <w:color w:val="212121"/>
        </w:rPr>
        <w:t>toward a vehicle or structure itself if the State proved [he] [she] acted with a wanton or malicious attitude directed toward an individual within or near the vehicle or structure.</w:t>
      </w:r>
    </w:p>
    <w:p w14:paraId="0FBDF881" w14:textId="77777777" w:rsidR="001337E3" w:rsidRPr="00670DBE" w:rsidRDefault="001337E3" w:rsidP="001337E3">
      <w:pPr>
        <w:pStyle w:val="SJIComments"/>
      </w:pPr>
      <w:r w:rsidRPr="00670DBE">
        <w:t>Lesser Included Offenses</w:t>
      </w:r>
    </w:p>
    <w:p w14:paraId="05F31A80" w14:textId="77777777" w:rsidR="001337E3" w:rsidRPr="00670DBE" w:rsidRDefault="001337E3" w:rsidP="001337E3">
      <w:pPr>
        <w:pStyle w:val="Heading4"/>
      </w:pPr>
      <w:bookmarkStart w:id="4" w:name="_Toc8284373"/>
      <w:bookmarkStart w:id="5" w:name="_Toc8284570"/>
      <w:bookmarkStart w:id="6" w:name="_Toc109650427"/>
      <w:r w:rsidRPr="00670DBE">
        <w:t>SHOOTING OR THROWING A [MISSILE] [STONE] [HARD SUBSTANCE</w:t>
      </w:r>
      <w:r>
        <w:t xml:space="preserve"> </w:t>
      </w:r>
      <w:r w:rsidRPr="00670DBE">
        <w:t>[[AT] [WITHIN] [INTO] [IN] A[N] [BUILDING] [VEHICLE] [VESSEL] [AIRCRAFT] — 790.19</w:t>
      </w:r>
      <w:bookmarkEnd w:id="4"/>
      <w:bookmarkEnd w:id="5"/>
      <w:bookmarkEnd w:id="6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0"/>
        <w:gridCol w:w="2990"/>
        <w:gridCol w:w="1962"/>
        <w:gridCol w:w="1408"/>
      </w:tblGrid>
      <w:tr w:rsidR="001337E3" w:rsidRPr="00670DBE" w14:paraId="6E2A66D8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5A4C455D" w14:textId="77777777" w:rsidR="001337E3" w:rsidRPr="001D0D4B" w:rsidRDefault="001337E3" w:rsidP="000E642B">
            <w:pPr>
              <w:pStyle w:val="SJITableText"/>
            </w:pPr>
            <w:r w:rsidRPr="001D0D4B">
              <w:t>CATEGORY ONE</w:t>
            </w:r>
          </w:p>
        </w:tc>
        <w:tc>
          <w:tcPr>
            <w:tcW w:w="1599" w:type="pct"/>
          </w:tcPr>
          <w:p w14:paraId="3B0DE8B6" w14:textId="77777777" w:rsidR="001337E3" w:rsidRPr="001D0D4B" w:rsidRDefault="001337E3" w:rsidP="000E642B">
            <w:pPr>
              <w:pStyle w:val="SJITableText"/>
            </w:pPr>
            <w:r w:rsidRPr="001D0D4B">
              <w:t>CATEGORY TWO</w:t>
            </w:r>
          </w:p>
        </w:tc>
        <w:tc>
          <w:tcPr>
            <w:tcW w:w="1049" w:type="pct"/>
          </w:tcPr>
          <w:p w14:paraId="1FA5657C" w14:textId="77777777" w:rsidR="001337E3" w:rsidRPr="001D0D4B" w:rsidRDefault="001337E3" w:rsidP="000E642B">
            <w:pPr>
              <w:pStyle w:val="SJITableText"/>
            </w:pPr>
            <w:r w:rsidRPr="001D0D4B">
              <w:t>FLA. STAT.</w:t>
            </w:r>
          </w:p>
        </w:tc>
        <w:tc>
          <w:tcPr>
            <w:tcW w:w="753" w:type="pct"/>
          </w:tcPr>
          <w:p w14:paraId="273317F2" w14:textId="77777777" w:rsidR="001337E3" w:rsidRPr="001D0D4B" w:rsidRDefault="001337E3" w:rsidP="000E642B">
            <w:pPr>
              <w:pStyle w:val="SJITableText"/>
            </w:pPr>
            <w:r w:rsidRPr="001D0D4B">
              <w:t>INS. NO.</w:t>
            </w:r>
          </w:p>
        </w:tc>
      </w:tr>
      <w:tr w:rsidR="001337E3" w:rsidRPr="00670DBE" w14:paraId="79A3BF22" w14:textId="77777777" w:rsidTr="000E642B">
        <w:tc>
          <w:tcPr>
            <w:tcW w:w="1599" w:type="pct"/>
          </w:tcPr>
          <w:p w14:paraId="6BB854B1" w14:textId="77777777" w:rsidR="001337E3" w:rsidRPr="00670DBE" w:rsidRDefault="001337E3" w:rsidP="000E642B">
            <w:pPr>
              <w:pStyle w:val="SJITableText"/>
            </w:pPr>
            <w:r w:rsidRPr="00670DBE">
              <w:t>None</w:t>
            </w:r>
          </w:p>
        </w:tc>
        <w:tc>
          <w:tcPr>
            <w:tcW w:w="1599" w:type="pct"/>
          </w:tcPr>
          <w:p w14:paraId="1995FD9E" w14:textId="77777777" w:rsidR="001337E3" w:rsidRPr="00670DBE" w:rsidRDefault="001337E3" w:rsidP="000E642B">
            <w:pPr>
              <w:pStyle w:val="SJITableText"/>
            </w:pPr>
          </w:p>
        </w:tc>
        <w:tc>
          <w:tcPr>
            <w:tcW w:w="1049" w:type="pct"/>
          </w:tcPr>
          <w:p w14:paraId="2A2F5EDB" w14:textId="77777777" w:rsidR="001337E3" w:rsidRPr="00670DBE" w:rsidRDefault="001337E3" w:rsidP="000E642B">
            <w:pPr>
              <w:pStyle w:val="SJITableText"/>
            </w:pPr>
          </w:p>
        </w:tc>
        <w:tc>
          <w:tcPr>
            <w:tcW w:w="753" w:type="pct"/>
          </w:tcPr>
          <w:p w14:paraId="7656C3D5" w14:textId="77777777" w:rsidR="001337E3" w:rsidRPr="00670DBE" w:rsidRDefault="001337E3" w:rsidP="000E642B">
            <w:pPr>
              <w:pStyle w:val="SJITableText"/>
            </w:pPr>
          </w:p>
        </w:tc>
      </w:tr>
      <w:tr w:rsidR="001337E3" w:rsidRPr="00670DBE" w14:paraId="5AAFA6D2" w14:textId="77777777" w:rsidTr="000E642B">
        <w:tc>
          <w:tcPr>
            <w:tcW w:w="1599" w:type="pct"/>
          </w:tcPr>
          <w:p w14:paraId="19E865D4" w14:textId="77777777" w:rsidR="001337E3" w:rsidRPr="00670DBE" w:rsidRDefault="001337E3" w:rsidP="000E642B">
            <w:pPr>
              <w:pStyle w:val="SJITableText"/>
            </w:pPr>
          </w:p>
        </w:tc>
        <w:tc>
          <w:tcPr>
            <w:tcW w:w="1599" w:type="pct"/>
          </w:tcPr>
          <w:p w14:paraId="03972DD7" w14:textId="77777777" w:rsidR="001337E3" w:rsidRPr="00670DBE" w:rsidRDefault="001337E3" w:rsidP="000E642B">
            <w:pPr>
              <w:pStyle w:val="SJITableText"/>
            </w:pPr>
            <w:r w:rsidRPr="00670DBE">
              <w:t>Attempt</w:t>
            </w:r>
          </w:p>
        </w:tc>
        <w:tc>
          <w:tcPr>
            <w:tcW w:w="1049" w:type="pct"/>
          </w:tcPr>
          <w:p w14:paraId="59C650F1" w14:textId="77777777" w:rsidR="001337E3" w:rsidRPr="00670DBE" w:rsidRDefault="001337E3" w:rsidP="000E642B">
            <w:pPr>
              <w:pStyle w:val="SJITableText"/>
            </w:pPr>
            <w:r w:rsidRPr="00670DBE">
              <w:t>777.04(1)</w:t>
            </w:r>
          </w:p>
        </w:tc>
        <w:tc>
          <w:tcPr>
            <w:tcW w:w="753" w:type="pct"/>
          </w:tcPr>
          <w:p w14:paraId="281C2477" w14:textId="77777777" w:rsidR="001337E3" w:rsidRPr="00670DBE" w:rsidRDefault="001337E3" w:rsidP="000E642B">
            <w:pPr>
              <w:pStyle w:val="SJITableText"/>
            </w:pPr>
            <w:r w:rsidRPr="00670DBE">
              <w:t>5.1</w:t>
            </w:r>
          </w:p>
        </w:tc>
      </w:tr>
      <w:tr w:rsidR="001337E3" w:rsidRPr="00670DBE" w14:paraId="6EF83CF0" w14:textId="77777777" w:rsidTr="000E642B">
        <w:tc>
          <w:tcPr>
            <w:tcW w:w="1599" w:type="pct"/>
          </w:tcPr>
          <w:p w14:paraId="1F9FABF8" w14:textId="77777777" w:rsidR="001337E3" w:rsidRPr="00670DBE" w:rsidRDefault="001337E3" w:rsidP="000E642B">
            <w:pPr>
              <w:pStyle w:val="SJITableText"/>
            </w:pPr>
          </w:p>
        </w:tc>
        <w:tc>
          <w:tcPr>
            <w:tcW w:w="1599" w:type="pct"/>
          </w:tcPr>
          <w:p w14:paraId="4B950F3A" w14:textId="77777777" w:rsidR="001337E3" w:rsidRPr="00670DBE" w:rsidRDefault="001337E3" w:rsidP="000E642B">
            <w:pPr>
              <w:pStyle w:val="SJITableText"/>
            </w:pPr>
            <w:r w:rsidRPr="00670DBE">
              <w:t>Criminal Mischief</w:t>
            </w:r>
          </w:p>
        </w:tc>
        <w:tc>
          <w:tcPr>
            <w:tcW w:w="1049" w:type="pct"/>
          </w:tcPr>
          <w:p w14:paraId="3075FE83" w14:textId="77777777" w:rsidR="001337E3" w:rsidRPr="00670DBE" w:rsidRDefault="001337E3" w:rsidP="000E642B">
            <w:pPr>
              <w:pStyle w:val="SJITableText"/>
            </w:pPr>
            <w:r w:rsidRPr="00670DBE">
              <w:t>806.13</w:t>
            </w:r>
          </w:p>
        </w:tc>
        <w:tc>
          <w:tcPr>
            <w:tcW w:w="753" w:type="pct"/>
          </w:tcPr>
          <w:p w14:paraId="39B1A448" w14:textId="77777777" w:rsidR="001337E3" w:rsidRPr="00670DBE" w:rsidRDefault="001337E3" w:rsidP="000E642B">
            <w:pPr>
              <w:pStyle w:val="SJITableText"/>
            </w:pPr>
            <w:r w:rsidRPr="00670DBE">
              <w:t>12.4</w:t>
            </w:r>
          </w:p>
        </w:tc>
      </w:tr>
      <w:tr w:rsidR="001337E3" w:rsidRPr="00670DBE" w14:paraId="5AF64FE7" w14:textId="77777777" w:rsidTr="000E642B">
        <w:tc>
          <w:tcPr>
            <w:tcW w:w="1599" w:type="pct"/>
          </w:tcPr>
          <w:p w14:paraId="4446BAC6" w14:textId="77777777" w:rsidR="001337E3" w:rsidRPr="00670DBE" w:rsidRDefault="001337E3" w:rsidP="000E642B">
            <w:pPr>
              <w:pStyle w:val="SJITableText"/>
            </w:pPr>
          </w:p>
        </w:tc>
        <w:tc>
          <w:tcPr>
            <w:tcW w:w="1599" w:type="pct"/>
          </w:tcPr>
          <w:p w14:paraId="687813DF" w14:textId="77777777" w:rsidR="001337E3" w:rsidRPr="00670DBE" w:rsidRDefault="001337E3" w:rsidP="000E642B">
            <w:pPr>
              <w:pStyle w:val="SJITableText"/>
            </w:pPr>
            <w:r w:rsidRPr="00670DBE">
              <w:t>Discharging firearm in public</w:t>
            </w:r>
          </w:p>
        </w:tc>
        <w:tc>
          <w:tcPr>
            <w:tcW w:w="1049" w:type="pct"/>
          </w:tcPr>
          <w:p w14:paraId="619F38F6" w14:textId="77777777" w:rsidR="001337E3" w:rsidRPr="00670DBE" w:rsidRDefault="001337E3" w:rsidP="000E642B">
            <w:pPr>
              <w:pStyle w:val="SJITableText"/>
            </w:pPr>
            <w:r w:rsidRPr="00670DBE">
              <w:t>790.15</w:t>
            </w:r>
          </w:p>
        </w:tc>
        <w:tc>
          <w:tcPr>
            <w:tcW w:w="753" w:type="pct"/>
          </w:tcPr>
          <w:p w14:paraId="3459253C" w14:textId="77777777" w:rsidR="001337E3" w:rsidRPr="00670DBE" w:rsidRDefault="001337E3" w:rsidP="000E642B">
            <w:pPr>
              <w:pStyle w:val="SJITableText"/>
            </w:pPr>
            <w:r w:rsidRPr="00670DBE">
              <w:t>10.6</w:t>
            </w:r>
          </w:p>
        </w:tc>
      </w:tr>
    </w:tbl>
    <w:p w14:paraId="36643A58" w14:textId="77777777" w:rsidR="001337E3" w:rsidRDefault="001337E3" w:rsidP="001337E3">
      <w:pPr>
        <w:pStyle w:val="SJIComments"/>
      </w:pPr>
      <w:r w:rsidRPr="00670DBE">
        <w:t>Comments</w:t>
      </w:r>
    </w:p>
    <w:p w14:paraId="13C247A8" w14:textId="77777777" w:rsidR="007F369C" w:rsidRDefault="001337E3" w:rsidP="001337E3">
      <w:pPr>
        <w:rPr>
          <w:color w:val="212121"/>
        </w:rPr>
      </w:pPr>
      <w:r w:rsidRPr="00670DBE">
        <w:t xml:space="preserve">*According to the Fourth District Court of Appeal, § 790.19, Fla. Stat., cannot be reclassified pursuant to § 775.087(1), Fla. Stat., because the use of a weapon or a firearm is an essential element of the crime. </w:t>
      </w:r>
      <w:r w:rsidRPr="00670DBE">
        <w:rPr>
          <w:i/>
        </w:rPr>
        <w:t>Jefferson v. State</w:t>
      </w:r>
      <w:r w:rsidRPr="00670DBE">
        <w:t xml:space="preserve">, 927 So. 2d 1037 (Fla. 4th DCA 2006). However, in </w:t>
      </w:r>
      <w:r w:rsidRPr="00670DBE">
        <w:rPr>
          <w:i/>
        </w:rPr>
        <w:t>Robertson v. State</w:t>
      </w:r>
      <w:r w:rsidRPr="00670DBE">
        <w:t>, 807 So. 2d 708 (Fla. 4th DCA 2002), the Fourth District also held it was proper to add 18 firearm points on the scoresheet because possession of a firearm is not an essential element of the crime. T</w:t>
      </w:r>
      <w:r w:rsidRPr="00670DBE">
        <w:rPr>
          <w:color w:val="212121"/>
        </w:rPr>
        <w:t xml:space="preserve">he First District Court of Appeal held in </w:t>
      </w:r>
      <w:r w:rsidRPr="00670DBE">
        <w:rPr>
          <w:i/>
          <w:color w:val="212121"/>
        </w:rPr>
        <w:t>Horn v. State</w:t>
      </w:r>
      <w:r w:rsidRPr="00670DBE">
        <w:rPr>
          <w:color w:val="212121"/>
        </w:rPr>
        <w:t xml:space="preserve">, 677 So. 2d 320 (Fla. 1st DCA 1996), that the use of a firearm was a necessary element of shooting at an occupied vehicle in violation of </w:t>
      </w:r>
      <w:r w:rsidRPr="00670DBE">
        <w:t>§ 790.19, Fla. Stat</w:t>
      </w:r>
      <w:r w:rsidRPr="00670DBE">
        <w:rPr>
          <w:color w:val="212121"/>
        </w:rPr>
        <w:t xml:space="preserve">. The Third District Court of Appeal has also held that the use of a firearm is a necessary element of shooting into an occupied vehicle. </w:t>
      </w:r>
      <w:r w:rsidRPr="00670DBE">
        <w:rPr>
          <w:i/>
          <w:color w:val="212121"/>
        </w:rPr>
        <w:t>Jones v. Singletary</w:t>
      </w:r>
      <w:r w:rsidRPr="00670DBE">
        <w:rPr>
          <w:color w:val="212121"/>
        </w:rPr>
        <w:t>, 621 So. 2d 760 (Fla. 3d DCA 1993).</w:t>
      </w:r>
      <w:r w:rsidR="007F369C">
        <w:rPr>
          <w:color w:val="212121"/>
        </w:rPr>
        <w:t xml:space="preserve"> </w:t>
      </w:r>
      <w:r w:rsidRPr="00670DBE">
        <w:rPr>
          <w:color w:val="212121"/>
        </w:rPr>
        <w:t>Trial judges should therefore consider whether to instruct on element #1c based on the charging document and the evidence.</w:t>
      </w:r>
    </w:p>
    <w:p w14:paraId="2B70CB91" w14:textId="59C91F4A" w:rsidR="001337E3" w:rsidRPr="00F57099" w:rsidRDefault="001337E3" w:rsidP="001337E3">
      <w:r w:rsidRPr="00670DBE">
        <w:lastRenderedPageBreak/>
        <w:t>This instruction was adopted in 1981 and amended in 2018 [253 So. 3d 1024] and 2019.</w:t>
      </w:r>
    </w:p>
    <w:p w14:paraId="213E41D5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D1945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52BEC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796412742">
    <w:abstractNumId w:val="2"/>
  </w:num>
  <w:num w:numId="2" w16cid:durableId="2061436212">
    <w:abstractNumId w:val="3"/>
  </w:num>
  <w:num w:numId="3" w16cid:durableId="1526213753">
    <w:abstractNumId w:val="4"/>
  </w:num>
  <w:num w:numId="4" w16cid:durableId="1509054742">
    <w:abstractNumId w:val="0"/>
  </w:num>
  <w:num w:numId="5" w16cid:durableId="2037077510">
    <w:abstractNumId w:val="1"/>
  </w:num>
  <w:num w:numId="6" w16cid:durableId="172066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E3"/>
    <w:rsid w:val="000C18E6"/>
    <w:rsid w:val="000E642B"/>
    <w:rsid w:val="001337E3"/>
    <w:rsid w:val="001C2855"/>
    <w:rsid w:val="001D0D4B"/>
    <w:rsid w:val="00276059"/>
    <w:rsid w:val="003E05DE"/>
    <w:rsid w:val="00670DBE"/>
    <w:rsid w:val="007603A9"/>
    <w:rsid w:val="007D1EBA"/>
    <w:rsid w:val="007F369C"/>
    <w:rsid w:val="008960ED"/>
    <w:rsid w:val="008B5368"/>
    <w:rsid w:val="008D436F"/>
    <w:rsid w:val="009435D1"/>
    <w:rsid w:val="00975A7E"/>
    <w:rsid w:val="00A96E6D"/>
    <w:rsid w:val="00ED656A"/>
    <w:rsid w:val="00F53E6F"/>
    <w:rsid w:val="00F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EF552"/>
  <w14:defaultImageDpi w14:val="0"/>
  <w15:docId w15:val="{CAAB3EBD-AB5C-4935-A11C-F50BFF7F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E3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7E3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37E3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37E3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1337E3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1337E3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37E3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337E3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337E3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37E3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37E3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337E3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337E3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337E3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337E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1337E3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1337E3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1337E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1337E3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1337E3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1337E3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1337E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1337E3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1337E3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1337E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337E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1337E3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1337E3"/>
    <w:rPr>
      <w:b/>
    </w:rPr>
  </w:style>
  <w:style w:type="paragraph" w:customStyle="1" w:styleId="SJIText">
    <w:name w:val="SJI Text"/>
    <w:basedOn w:val="Normal"/>
    <w:next w:val="Normal"/>
    <w:qFormat/>
    <w:rsid w:val="001337E3"/>
    <w:rPr>
      <w:rFonts w:cs="Times New Roman"/>
    </w:rPr>
  </w:style>
  <w:style w:type="paragraph" w:customStyle="1" w:styleId="SJITableTitle">
    <w:name w:val="SJI Table Title"/>
    <w:basedOn w:val="Normal"/>
    <w:qFormat/>
    <w:rsid w:val="001337E3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1337E3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1337E3"/>
    <w:pPr>
      <w:numPr>
        <w:numId w:val="6"/>
      </w:numPr>
    </w:pPr>
  </w:style>
  <w:style w:type="paragraph" w:customStyle="1" w:styleId="SJITableNotation">
    <w:name w:val="SJI Table Notation"/>
    <w:basedOn w:val="SJITableText"/>
    <w:qFormat/>
    <w:rsid w:val="001337E3"/>
    <w:pPr>
      <w:spacing w:before="120" w:after="240"/>
    </w:pPr>
  </w:style>
  <w:style w:type="character" w:customStyle="1" w:styleId="SJIUnderline">
    <w:name w:val="SJI Underline"/>
    <w:uiPriority w:val="1"/>
    <w:qFormat/>
    <w:rsid w:val="001337E3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37E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1337E3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337E3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1337E3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E3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337E3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337E3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1337E3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1337E3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E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1337E3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37E3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9</cp:revision>
  <dcterms:created xsi:type="dcterms:W3CDTF">2023-07-11T18:15:00Z</dcterms:created>
  <dcterms:modified xsi:type="dcterms:W3CDTF">2023-07-12T13:49:00Z</dcterms:modified>
</cp:coreProperties>
</file>